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B5E" w:rsidRDefault="00AE7A0B" w:rsidP="00592B5E">
      <w:pPr>
        <w:spacing w:after="0" w:line="240" w:lineRule="auto"/>
      </w:pPr>
      <w:r>
        <w:rPr>
          <w:rFonts w:cstheme="minorHAnsi"/>
          <w:noProof/>
        </w:rPr>
        <w:drawing>
          <wp:anchor distT="0" distB="0" distL="114300" distR="114300" simplePos="0" relativeHeight="251659264" behindDoc="1" locked="0" layoutInCell="1" allowOverlap="1" wp14:anchorId="0CA8342E" wp14:editId="2BE68D1F">
            <wp:simplePos x="0" y="0"/>
            <wp:positionH relativeFrom="margin">
              <wp:posOffset>0</wp:posOffset>
            </wp:positionH>
            <wp:positionV relativeFrom="paragraph">
              <wp:posOffset>5938</wp:posOffset>
            </wp:positionV>
            <wp:extent cx="1652251" cy="510074"/>
            <wp:effectExtent l="0" t="0" r="571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S-Logo.jpg"/>
                    <pic:cNvPicPr/>
                  </pic:nvPicPr>
                  <pic:blipFill>
                    <a:blip r:embed="rId7">
                      <a:extLst>
                        <a:ext uri="{28A0092B-C50C-407E-A947-70E740481C1C}">
                          <a14:useLocalDpi xmlns:a14="http://schemas.microsoft.com/office/drawing/2010/main" val="0"/>
                        </a:ext>
                      </a:extLst>
                    </a:blip>
                    <a:stretch>
                      <a:fillRect/>
                    </a:stretch>
                  </pic:blipFill>
                  <pic:spPr>
                    <a:xfrm>
                      <a:off x="0" y="0"/>
                      <a:ext cx="1652251" cy="510074"/>
                    </a:xfrm>
                    <a:prstGeom prst="rect">
                      <a:avLst/>
                    </a:prstGeom>
                  </pic:spPr>
                </pic:pic>
              </a:graphicData>
            </a:graphic>
            <wp14:sizeRelH relativeFrom="page">
              <wp14:pctWidth>0</wp14:pctWidth>
            </wp14:sizeRelH>
            <wp14:sizeRelV relativeFrom="page">
              <wp14:pctHeight>0</wp14:pctHeight>
            </wp14:sizeRelV>
          </wp:anchor>
        </w:drawing>
      </w:r>
    </w:p>
    <w:p w:rsidR="00592B5E" w:rsidRDefault="00592B5E" w:rsidP="00592B5E">
      <w:pPr>
        <w:tabs>
          <w:tab w:val="left" w:pos="477"/>
        </w:tabs>
        <w:spacing w:after="0" w:line="240" w:lineRule="auto"/>
      </w:pPr>
      <w:r>
        <w:tab/>
      </w:r>
    </w:p>
    <w:p w:rsidR="00592B5E" w:rsidRDefault="00592B5E" w:rsidP="00592B5E">
      <w:pPr>
        <w:spacing w:after="0" w:line="240" w:lineRule="auto"/>
      </w:pPr>
    </w:p>
    <w:p w:rsidR="00592B5E" w:rsidRPr="00EC5CC8" w:rsidRDefault="00592B5E" w:rsidP="00E423C2">
      <w:pPr>
        <w:pStyle w:val="Heading3"/>
        <w:rPr>
          <w:b/>
          <w:color w:val="002060"/>
        </w:rPr>
      </w:pPr>
    </w:p>
    <w:p w:rsidR="00BF5658" w:rsidRPr="00EC5CC8" w:rsidRDefault="00BF5658" w:rsidP="00E423C2">
      <w:pPr>
        <w:pStyle w:val="Heading2"/>
        <w:jc w:val="center"/>
        <w:rPr>
          <w:b/>
          <w:color w:val="002060"/>
        </w:rPr>
      </w:pPr>
      <w:r w:rsidRPr="00EC5CC8">
        <w:rPr>
          <w:b/>
          <w:color w:val="002060"/>
          <w:sz w:val="28"/>
        </w:rPr>
        <w:t xml:space="preserve">Pre-Practicum Gateway Observation </w:t>
      </w:r>
      <w:r w:rsidR="00592B5E" w:rsidRPr="00EC5CC8">
        <w:rPr>
          <w:b/>
          <w:color w:val="002060"/>
          <w:sz w:val="28"/>
        </w:rPr>
        <w:t>Assessment</w:t>
      </w:r>
      <w:r w:rsidRPr="00EC5CC8">
        <w:rPr>
          <w:b/>
          <w:color w:val="002060"/>
          <w:sz w:val="28"/>
        </w:rPr>
        <w:t xml:space="preserve"> Guide</w:t>
      </w:r>
    </w:p>
    <w:p w:rsidR="00BF5658" w:rsidRDefault="00BF5658" w:rsidP="00592B5E">
      <w:pPr>
        <w:spacing w:after="0" w:line="240" w:lineRule="auto"/>
        <w:rPr>
          <w:b/>
        </w:rPr>
      </w:pPr>
    </w:p>
    <w:p w:rsidR="00E370AF" w:rsidRDefault="00BF5658" w:rsidP="00E370AF">
      <w:pPr>
        <w:spacing w:after="0" w:line="240" w:lineRule="auto"/>
        <w:rPr>
          <w:b/>
        </w:rPr>
      </w:pPr>
      <w:r>
        <w:rPr>
          <w:b/>
        </w:rPr>
        <w:t xml:space="preserve">Participants in Pre-Practicum: Teacher Candidate (TC)  Supervising Practitioner (SP) and Program Supervisor (PS) </w:t>
      </w:r>
    </w:p>
    <w:p w:rsidR="00E370AF" w:rsidRDefault="00E370AF" w:rsidP="00E370AF">
      <w:pPr>
        <w:spacing w:after="0" w:line="240" w:lineRule="auto"/>
        <w:rPr>
          <w:b/>
        </w:rPr>
      </w:pPr>
    </w:p>
    <w:p w:rsidR="00BF5658" w:rsidRDefault="00BF5658" w:rsidP="00BF5658">
      <w:pPr>
        <w:rPr>
          <w:rFonts w:cstheme="minorHAnsi"/>
        </w:rPr>
      </w:pPr>
      <w:r>
        <w:rPr>
          <w:rFonts w:cstheme="minorHAnsi"/>
        </w:rPr>
        <w:t xml:space="preserve">The gateway </w:t>
      </w:r>
      <w:r w:rsidRPr="00BF5658">
        <w:rPr>
          <w:rFonts w:cstheme="minorHAnsi"/>
        </w:rPr>
        <w:t>observation</w:t>
      </w:r>
      <w:r>
        <w:rPr>
          <w:rFonts w:cstheme="minorHAnsi"/>
        </w:rPr>
        <w:t xml:space="preserve">s are </w:t>
      </w:r>
      <w:r w:rsidRPr="00BF5658">
        <w:rPr>
          <w:rFonts w:cstheme="minorHAnsi"/>
        </w:rPr>
        <w:t>designed to serve an assessment of a teacher candidate’s theoretical, practical and clinical preparedness for the</w:t>
      </w:r>
      <w:r>
        <w:rPr>
          <w:rFonts w:cstheme="minorHAnsi"/>
        </w:rPr>
        <w:t>ir</w:t>
      </w:r>
      <w:r w:rsidRPr="00BF5658">
        <w:rPr>
          <w:rFonts w:cstheme="minorHAnsi"/>
        </w:rPr>
        <w:t xml:space="preserve"> student</w:t>
      </w:r>
      <w:r>
        <w:rPr>
          <w:rFonts w:cstheme="minorHAnsi"/>
        </w:rPr>
        <w:t xml:space="preserve"> teaching practicum. TC’s </w:t>
      </w:r>
      <w:r w:rsidRPr="00BF5658">
        <w:rPr>
          <w:rFonts w:cstheme="minorHAnsi"/>
        </w:rPr>
        <w:t xml:space="preserve">must meet </w:t>
      </w:r>
      <w:r>
        <w:rPr>
          <w:rFonts w:cstheme="minorHAnsi"/>
        </w:rPr>
        <w:t xml:space="preserve">the minimum </w:t>
      </w:r>
      <w:r w:rsidRPr="00BF5658">
        <w:rPr>
          <w:rFonts w:cstheme="minorHAnsi"/>
        </w:rPr>
        <w:t>threshold expectations in order to move from the Pre-Practicum to Practicum.</w:t>
      </w:r>
    </w:p>
    <w:p w:rsidR="00BF5658" w:rsidRDefault="00BF5658" w:rsidP="00BF5658">
      <w:pPr>
        <w:rPr>
          <w:rFonts w:cstheme="minorHAnsi"/>
        </w:rPr>
      </w:pPr>
      <w:r>
        <w:rPr>
          <w:rFonts w:cstheme="minorHAnsi"/>
        </w:rPr>
        <w:t xml:space="preserve">The TC’s two observations during the pre-practicum experience </w:t>
      </w:r>
      <w:r w:rsidRPr="00BF5658">
        <w:rPr>
          <w:rFonts w:cstheme="minorHAnsi"/>
        </w:rPr>
        <w:t xml:space="preserve">will be scored according to the following criteria. In order to </w:t>
      </w:r>
      <w:r>
        <w:rPr>
          <w:rFonts w:cstheme="minorHAnsi"/>
        </w:rPr>
        <w:t>achieve a passing score in the pre-practicum experience</w:t>
      </w:r>
      <w:r w:rsidRPr="00BF5658">
        <w:rPr>
          <w:rFonts w:cstheme="minorHAnsi"/>
        </w:rPr>
        <w:t xml:space="preserve">, </w:t>
      </w:r>
      <w:r>
        <w:rPr>
          <w:rFonts w:cstheme="minorHAnsi"/>
        </w:rPr>
        <w:t>the TC</w:t>
      </w:r>
      <w:r w:rsidRPr="00BF5658">
        <w:rPr>
          <w:rFonts w:cstheme="minorHAnsi"/>
        </w:rPr>
        <w:t xml:space="preserve"> will </w:t>
      </w:r>
      <w:r>
        <w:rPr>
          <w:rFonts w:cstheme="minorHAnsi"/>
        </w:rPr>
        <w:t xml:space="preserve">need to </w:t>
      </w:r>
      <w:r w:rsidR="00D6652D">
        <w:rPr>
          <w:rFonts w:cstheme="minorHAnsi"/>
        </w:rPr>
        <w:t>demonstrate “approaching</w:t>
      </w:r>
      <w:r w:rsidRPr="00BF5658">
        <w:rPr>
          <w:rFonts w:cstheme="minorHAnsi"/>
        </w:rPr>
        <w:t xml:space="preserve"> for all criteria</w:t>
      </w:r>
      <w:r w:rsidR="00D6652D">
        <w:rPr>
          <w:rFonts w:cstheme="minorHAnsi"/>
        </w:rPr>
        <w:t xml:space="preserve"> for the 1</w:t>
      </w:r>
      <w:r w:rsidR="00D6652D" w:rsidRPr="00D6652D">
        <w:rPr>
          <w:rFonts w:cstheme="minorHAnsi"/>
          <w:vertAlign w:val="superscript"/>
        </w:rPr>
        <w:t>st</w:t>
      </w:r>
      <w:r w:rsidR="00D6652D">
        <w:rPr>
          <w:rFonts w:cstheme="minorHAnsi"/>
        </w:rPr>
        <w:t xml:space="preserve"> observation. The expectation is that the TC will achieve ‘Meeting’  in the 2</w:t>
      </w:r>
      <w:r w:rsidR="00D6652D" w:rsidRPr="00D6652D">
        <w:rPr>
          <w:rFonts w:cstheme="minorHAnsi"/>
          <w:vertAlign w:val="superscript"/>
        </w:rPr>
        <w:t>nd</w:t>
      </w:r>
      <w:r w:rsidR="00D6652D">
        <w:rPr>
          <w:rFonts w:cstheme="minorHAnsi"/>
          <w:vertAlign w:val="superscript"/>
        </w:rPr>
        <w:t xml:space="preserve"> </w:t>
      </w:r>
      <w:r w:rsidR="00D6652D">
        <w:rPr>
          <w:rFonts w:cstheme="minorHAnsi"/>
        </w:rPr>
        <w:t xml:space="preserve"> observation and  ‘</w:t>
      </w:r>
      <w:r w:rsidRPr="00BF5658">
        <w:rPr>
          <w:rFonts w:cstheme="minorHAnsi"/>
        </w:rPr>
        <w:t>Approaching</w:t>
      </w:r>
      <w:r w:rsidR="00D6652D">
        <w:rPr>
          <w:rFonts w:cstheme="minorHAnsi"/>
        </w:rPr>
        <w:t>’</w:t>
      </w:r>
      <w:r w:rsidRPr="00BF5658">
        <w:rPr>
          <w:rFonts w:cstheme="minorHAnsi"/>
        </w:rPr>
        <w:t xml:space="preserve"> for Sub</w:t>
      </w:r>
      <w:r w:rsidR="00D6652D">
        <w:rPr>
          <w:rFonts w:cstheme="minorHAnsi"/>
        </w:rPr>
        <w:t xml:space="preserve">ject Matter Knowledge Fluency. </w:t>
      </w:r>
    </w:p>
    <w:p w:rsidR="00BF5658" w:rsidRPr="00E423C2" w:rsidRDefault="00BF5658" w:rsidP="00BF5658">
      <w:pPr>
        <w:rPr>
          <w:rFonts w:cstheme="minorHAnsi"/>
          <w:i/>
        </w:rPr>
      </w:pPr>
      <w:r w:rsidRPr="00E423C2">
        <w:rPr>
          <w:rFonts w:cstheme="minorHAnsi"/>
          <w:i/>
        </w:rPr>
        <w:t>The assessment is developed with content directly aligned the Professional Standards for Teachers and focuses on the following standards and indicators:</w:t>
      </w:r>
      <w:r w:rsidR="00E423C2">
        <w:rPr>
          <w:rFonts w:cstheme="minorHAnsi"/>
          <w:i/>
        </w:rPr>
        <w:t xml:space="preserve"> </w:t>
      </w:r>
      <w:hyperlink r:id="rId8" w:history="1">
        <w:r w:rsidR="00E423C2" w:rsidRPr="00C26F91">
          <w:rPr>
            <w:rStyle w:val="Hyperlink"/>
          </w:rPr>
          <w:t>http://www.doe.mass.edu/edprep/resources/pre-practicum.html</w:t>
        </w:r>
      </w:hyperlink>
    </w:p>
    <w:p w:rsidR="00BF5658" w:rsidRPr="0045435E" w:rsidRDefault="00BF5658" w:rsidP="00BF5658">
      <w:pPr>
        <w:rPr>
          <w:rFonts w:cstheme="minorHAnsi"/>
          <w:b/>
          <w:bCs/>
        </w:rPr>
      </w:pPr>
      <w:r w:rsidRPr="0045435E">
        <w:rPr>
          <w:rFonts w:cstheme="minorHAnsi"/>
          <w:b/>
          <w:bCs/>
        </w:rPr>
        <w:t>STANDARD I: Curriculum Planning and Assessment</w:t>
      </w:r>
    </w:p>
    <w:p w:rsidR="00BF5658" w:rsidRPr="00852164" w:rsidRDefault="00BF5658" w:rsidP="00BF5658">
      <w:pPr>
        <w:rPr>
          <w:rFonts w:cstheme="minorHAnsi"/>
        </w:rPr>
      </w:pPr>
      <w:r w:rsidRPr="00E370AF">
        <w:rPr>
          <w:rFonts w:cstheme="minorHAnsi"/>
          <w:b/>
          <w:bCs/>
          <w:i/>
        </w:rPr>
        <w:t>Indicator I-A. Curriculum &amp; Planning</w:t>
      </w:r>
      <w:r w:rsidR="00E370AF">
        <w:rPr>
          <w:rFonts w:cstheme="minorHAnsi"/>
        </w:rPr>
        <w:t>:</w:t>
      </w:r>
      <w:r w:rsidR="009D2994">
        <w:rPr>
          <w:rFonts w:cstheme="minorHAnsi"/>
        </w:rPr>
        <w:t xml:space="preserve"> </w:t>
      </w:r>
      <w:r w:rsidRPr="00852164">
        <w:rPr>
          <w:rFonts w:cstheme="minorHAnsi"/>
        </w:rPr>
        <w:t xml:space="preserve">Knows the subject matter well, has a good grasp of child development and how students learn, and designs effective and rigorous standards-based units of instruction consisting of well-structured lessons with measurable outcomes. </w:t>
      </w:r>
    </w:p>
    <w:p w:rsidR="00BF5658" w:rsidRDefault="00BF5658" w:rsidP="00BF5658">
      <w:pPr>
        <w:pStyle w:val="ListParagraph"/>
        <w:numPr>
          <w:ilvl w:val="0"/>
          <w:numId w:val="2"/>
        </w:numPr>
        <w:rPr>
          <w:rFonts w:cstheme="minorHAnsi"/>
        </w:rPr>
      </w:pPr>
      <w:r w:rsidRPr="00E370AF">
        <w:rPr>
          <w:rFonts w:cstheme="minorHAnsi"/>
          <w:b/>
          <w:i/>
        </w:rPr>
        <w:t>I-A-1.</w:t>
      </w:r>
      <w:r w:rsidRPr="00BC3578">
        <w:rPr>
          <w:rFonts w:cstheme="minorHAnsi"/>
        </w:rPr>
        <w:t xml:space="preserve"> Subject Matter Knowledge</w:t>
      </w:r>
      <w:r>
        <w:rPr>
          <w:rFonts w:cstheme="minorHAnsi"/>
        </w:rPr>
        <w:t>:</w:t>
      </w:r>
      <w:r w:rsidRPr="00BC3578">
        <w:rPr>
          <w:rFonts w:cstheme="minorHAnsi"/>
        </w:rPr>
        <w:t xml:space="preserve"> Demonstrates sound knowledge and understanding of the subject matter and the pedagogy it requires by consistently engaging students in learning experiences that enable them to acquire complex knowledge and subject-specific skills and vocabulary, such that they are able to make and assess evidence-based claims and arguments. </w:t>
      </w:r>
    </w:p>
    <w:p w:rsidR="00BF5658" w:rsidRPr="00BC3578" w:rsidRDefault="00BF5658" w:rsidP="00BF5658">
      <w:pPr>
        <w:pStyle w:val="ListParagraph"/>
        <w:numPr>
          <w:ilvl w:val="0"/>
          <w:numId w:val="2"/>
        </w:numPr>
        <w:rPr>
          <w:rFonts w:cstheme="minorHAnsi"/>
        </w:rPr>
      </w:pPr>
      <w:r w:rsidRPr="00E370AF">
        <w:rPr>
          <w:rFonts w:cstheme="minorHAnsi"/>
          <w:b/>
          <w:i/>
        </w:rPr>
        <w:t>I-A-3.</w:t>
      </w:r>
      <w:r w:rsidRPr="00BC3578">
        <w:rPr>
          <w:rFonts w:cstheme="minorHAnsi"/>
        </w:rPr>
        <w:t xml:space="preserve"> Well-Structured Units and Lessons</w:t>
      </w:r>
      <w:r>
        <w:rPr>
          <w:rFonts w:cstheme="minorHAnsi"/>
        </w:rPr>
        <w:t>:</w:t>
      </w:r>
      <w:r w:rsidRPr="00BC3578">
        <w:rPr>
          <w:rFonts w:cstheme="minorHAnsi"/>
        </w:rPr>
        <w:t xml:space="preserve"> Adapts as needed and implements standards-based units comprised of well-structured lessons with challenging tasks and measurable outcomes; appropriate student engagement strategies, pacing, sequence, resources, and grouping; purposeful questioning; and strategic use of technology and digital media; such that students are able to learn the knowledge and skills defined in state standards/local curricula.     </w:t>
      </w:r>
    </w:p>
    <w:p w:rsidR="00BF5658" w:rsidRPr="0045435E" w:rsidRDefault="00BF5658" w:rsidP="00BF5658">
      <w:pPr>
        <w:rPr>
          <w:rFonts w:cstheme="minorHAnsi"/>
          <w:b/>
          <w:bCs/>
        </w:rPr>
      </w:pPr>
      <w:r w:rsidRPr="0045435E">
        <w:rPr>
          <w:rFonts w:cstheme="minorHAnsi"/>
          <w:b/>
          <w:bCs/>
        </w:rPr>
        <w:t xml:space="preserve">STANDARD II: Teaching All Students </w:t>
      </w:r>
    </w:p>
    <w:p w:rsidR="00BF5658" w:rsidRPr="00852164" w:rsidRDefault="00BF5658" w:rsidP="00BF5658">
      <w:pPr>
        <w:rPr>
          <w:rFonts w:cstheme="minorHAnsi"/>
        </w:rPr>
      </w:pPr>
      <w:r w:rsidRPr="00E370AF">
        <w:rPr>
          <w:rFonts w:cstheme="minorHAnsi"/>
          <w:b/>
          <w:bCs/>
          <w:i/>
        </w:rPr>
        <w:t>Indicator II-A.</w:t>
      </w:r>
      <w:r w:rsidRPr="00E370AF">
        <w:rPr>
          <w:rFonts w:cstheme="minorHAnsi"/>
          <w:i/>
        </w:rPr>
        <w:t xml:space="preserve"> </w:t>
      </w:r>
      <w:r w:rsidRPr="00E370AF">
        <w:rPr>
          <w:rFonts w:cstheme="minorHAnsi"/>
          <w:b/>
          <w:bCs/>
          <w:i/>
        </w:rPr>
        <w:t>Instruction:</w:t>
      </w:r>
      <w:r w:rsidRPr="00852164">
        <w:rPr>
          <w:rFonts w:cstheme="minorHAnsi"/>
        </w:rPr>
        <w:t xml:space="preserve"> Uses instructional practices that reflect high expectations regarding content and quality of effort and work; engage all students; and are personalized to accommodate diverse learning styles, needs, interests, and levels of readiness.      </w:t>
      </w:r>
    </w:p>
    <w:p w:rsidR="00BF5658" w:rsidRPr="007E2820" w:rsidRDefault="00BF5658" w:rsidP="00BF5658">
      <w:pPr>
        <w:pStyle w:val="ListParagraph"/>
        <w:numPr>
          <w:ilvl w:val="0"/>
          <w:numId w:val="3"/>
        </w:numPr>
        <w:rPr>
          <w:rFonts w:cstheme="minorHAnsi"/>
        </w:rPr>
      </w:pPr>
      <w:r w:rsidRPr="00E370AF">
        <w:rPr>
          <w:rFonts w:cstheme="minorHAnsi"/>
          <w:b/>
          <w:i/>
        </w:rPr>
        <w:t>II-A-2.</w:t>
      </w:r>
      <w:r w:rsidRPr="007E2820">
        <w:rPr>
          <w:rFonts w:cstheme="minorHAnsi"/>
        </w:rPr>
        <w:t xml:space="preserve">   Student Engagement Consistently uses instructional practices that are likely to motivate and engage most students in the content of the lesson.     </w:t>
      </w:r>
    </w:p>
    <w:p w:rsidR="00BF5658" w:rsidRPr="007E2820" w:rsidRDefault="00BF5658" w:rsidP="00BF5658">
      <w:pPr>
        <w:pStyle w:val="ListParagraph"/>
        <w:numPr>
          <w:ilvl w:val="0"/>
          <w:numId w:val="3"/>
        </w:numPr>
        <w:rPr>
          <w:rFonts w:cstheme="minorHAnsi"/>
        </w:rPr>
      </w:pPr>
      <w:r w:rsidRPr="00E370AF">
        <w:rPr>
          <w:rFonts w:cstheme="minorHAnsi"/>
          <w:b/>
          <w:i/>
        </w:rPr>
        <w:t>II-A-3.</w:t>
      </w:r>
      <w:r w:rsidRPr="007E2820">
        <w:rPr>
          <w:rFonts w:cstheme="minorHAnsi"/>
        </w:rPr>
        <w:t xml:space="preserve">   Meeting Diverse Needs Uses appropriate inclusive practices, such as tiered supports and scaffolded instruction, to accommodate differences in students’ learning needs, abilities, interests, and levels of readiness, including those of academically advanced students, students with disabilities, and English learners.      </w:t>
      </w:r>
    </w:p>
    <w:p w:rsidR="00BF5658" w:rsidRPr="00BF5658" w:rsidRDefault="00BF5658" w:rsidP="00BF5658">
      <w:pPr>
        <w:shd w:val="clear" w:color="auto" w:fill="D9E2F3" w:themeFill="accent5" w:themeFillTint="33"/>
        <w:spacing w:before="240"/>
        <w:rPr>
          <w:rFonts w:cstheme="minorHAnsi"/>
          <w:b/>
        </w:rPr>
      </w:pPr>
      <w:r w:rsidRPr="00852164">
        <w:rPr>
          <w:rFonts w:cstheme="minorHAnsi"/>
          <w:b/>
        </w:rPr>
        <w:t>Licensure Field/Grade-Level:</w:t>
      </w:r>
      <w:r>
        <w:rPr>
          <w:rFonts w:cstheme="minorHAnsi"/>
        </w:rPr>
        <w:t xml:space="preserve"> T</w:t>
      </w:r>
      <w:r w:rsidRPr="00852164">
        <w:rPr>
          <w:rFonts w:cstheme="minorHAnsi"/>
        </w:rPr>
        <w:t>ask</w:t>
      </w:r>
      <w:r>
        <w:rPr>
          <w:rFonts w:cstheme="minorHAnsi"/>
        </w:rPr>
        <w:t>s</w:t>
      </w:r>
      <w:r w:rsidRPr="00852164">
        <w:rPr>
          <w:rFonts w:cstheme="minorHAnsi"/>
        </w:rPr>
        <w:t xml:space="preserve"> can be adapted fo</w:t>
      </w:r>
      <w:r w:rsidR="00E370AF">
        <w:rPr>
          <w:rFonts w:cstheme="minorHAnsi"/>
        </w:rPr>
        <w:t>r use within any licensure program and PreK-12 grade level.</w:t>
      </w:r>
    </w:p>
    <w:p w:rsidR="00E370AF" w:rsidRDefault="00E370AF" w:rsidP="00BF5658">
      <w:pPr>
        <w:rPr>
          <w:rFonts w:cstheme="minorHAnsi"/>
        </w:rPr>
      </w:pPr>
      <w:r>
        <w:rPr>
          <w:rFonts w:cstheme="minorHAnsi"/>
        </w:rPr>
        <w:t>In addition to the Professional Stan</w:t>
      </w:r>
      <w:r w:rsidR="00D6652D">
        <w:rPr>
          <w:rFonts w:cstheme="minorHAnsi"/>
        </w:rPr>
        <w:t>dards; TC’s will receive targeted</w:t>
      </w:r>
      <w:r>
        <w:rPr>
          <w:rFonts w:cstheme="minorHAnsi"/>
        </w:rPr>
        <w:t xml:space="preserve"> feedback on their depositional readiness to move forward into their practicum during their </w:t>
      </w:r>
      <w:r w:rsidRPr="00E370AF">
        <w:rPr>
          <w:rFonts w:cstheme="minorHAnsi"/>
          <w:b/>
          <w:i/>
        </w:rPr>
        <w:t>Pre-Practicum Final Assessment.</w:t>
      </w:r>
      <w:r>
        <w:rPr>
          <w:rFonts w:cstheme="minorHAnsi"/>
        </w:rPr>
        <w:t xml:space="preserve">  </w:t>
      </w:r>
    </w:p>
    <w:p w:rsidR="00BF5658" w:rsidRPr="00BF5658" w:rsidRDefault="00BF5658" w:rsidP="00BF5658">
      <w:pPr>
        <w:rPr>
          <w:rFonts w:cstheme="minorHAnsi"/>
        </w:rPr>
      </w:pPr>
    </w:p>
    <w:p w:rsidR="00BF5658" w:rsidRDefault="00E370AF" w:rsidP="00BF5658">
      <w:pPr>
        <w:spacing w:after="0" w:line="240" w:lineRule="auto"/>
        <w:rPr>
          <w:b/>
        </w:rPr>
      </w:pPr>
      <w:r>
        <w:rPr>
          <w:rFonts w:cstheme="minorHAnsi"/>
          <w:noProof/>
        </w:rPr>
        <w:lastRenderedPageBreak/>
        <w:drawing>
          <wp:anchor distT="0" distB="0" distL="114300" distR="114300" simplePos="0" relativeHeight="251661312" behindDoc="1" locked="0" layoutInCell="1" allowOverlap="1" wp14:anchorId="6F4F61A0" wp14:editId="536118AE">
            <wp:simplePos x="0" y="0"/>
            <wp:positionH relativeFrom="margin">
              <wp:posOffset>-82550</wp:posOffset>
            </wp:positionH>
            <wp:positionV relativeFrom="paragraph">
              <wp:posOffset>-120650</wp:posOffset>
            </wp:positionV>
            <wp:extent cx="1652251" cy="510074"/>
            <wp:effectExtent l="0" t="0" r="571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S-Logo.jpg"/>
                    <pic:cNvPicPr/>
                  </pic:nvPicPr>
                  <pic:blipFill>
                    <a:blip r:embed="rId7">
                      <a:extLst>
                        <a:ext uri="{28A0092B-C50C-407E-A947-70E740481C1C}">
                          <a14:useLocalDpi xmlns:a14="http://schemas.microsoft.com/office/drawing/2010/main" val="0"/>
                        </a:ext>
                      </a:extLst>
                    </a:blip>
                    <a:stretch>
                      <a:fillRect/>
                    </a:stretch>
                  </pic:blipFill>
                  <pic:spPr>
                    <a:xfrm>
                      <a:off x="0" y="0"/>
                      <a:ext cx="1652251" cy="510074"/>
                    </a:xfrm>
                    <a:prstGeom prst="rect">
                      <a:avLst/>
                    </a:prstGeom>
                  </pic:spPr>
                </pic:pic>
              </a:graphicData>
            </a:graphic>
            <wp14:sizeRelH relativeFrom="page">
              <wp14:pctWidth>0</wp14:pctWidth>
            </wp14:sizeRelH>
            <wp14:sizeRelV relativeFrom="page">
              <wp14:pctHeight>0</wp14:pctHeight>
            </wp14:sizeRelV>
          </wp:anchor>
        </w:drawing>
      </w:r>
    </w:p>
    <w:p w:rsidR="00E370AF" w:rsidRDefault="00E370AF" w:rsidP="00BF5658">
      <w:pPr>
        <w:spacing w:after="0" w:line="240" w:lineRule="auto"/>
        <w:rPr>
          <w:b/>
        </w:rPr>
      </w:pPr>
    </w:p>
    <w:p w:rsidR="00E370AF" w:rsidRDefault="00E370AF" w:rsidP="00BF5658">
      <w:pPr>
        <w:spacing w:after="0" w:line="240" w:lineRule="auto"/>
        <w:rPr>
          <w:b/>
        </w:rPr>
      </w:pPr>
    </w:p>
    <w:p w:rsidR="00E370AF" w:rsidRPr="00E423C2" w:rsidRDefault="00E370AF" w:rsidP="00E423C2">
      <w:pPr>
        <w:pStyle w:val="Heading1"/>
        <w:jc w:val="center"/>
        <w:rPr>
          <w:b/>
          <w:sz w:val="28"/>
        </w:rPr>
      </w:pPr>
      <w:r w:rsidRPr="00E423C2">
        <w:rPr>
          <w:b/>
          <w:sz w:val="28"/>
        </w:rPr>
        <w:t>Pre-Practicum Gateway Observation Assessment</w:t>
      </w:r>
    </w:p>
    <w:p w:rsidR="00592B5E" w:rsidRDefault="00592B5E" w:rsidP="00592B5E">
      <w:pPr>
        <w:spacing w:after="0" w:line="240" w:lineRule="auto"/>
        <w:rPr>
          <w:b/>
        </w:rPr>
      </w:pPr>
    </w:p>
    <w:p w:rsidR="00592B5E" w:rsidRDefault="00592B5E" w:rsidP="00025B5E">
      <w:pPr>
        <w:spacing w:after="0" w:line="240" w:lineRule="auto"/>
        <w:rPr>
          <w:b/>
        </w:rPr>
      </w:pPr>
      <w:r w:rsidRPr="00E370AF">
        <w:rPr>
          <w:rFonts w:cstheme="minorHAnsi"/>
          <w:b/>
          <w:i/>
          <w:color w:val="000000"/>
        </w:rPr>
        <w:t>Instructions:</w:t>
      </w:r>
      <w:r>
        <w:rPr>
          <w:rFonts w:cstheme="minorHAnsi"/>
          <w:color w:val="000000"/>
        </w:rPr>
        <w:t xml:space="preserve"> </w:t>
      </w:r>
      <w:r w:rsidR="00AE7A0B" w:rsidRPr="00C91D87">
        <w:rPr>
          <w:rFonts w:cstheme="minorHAnsi"/>
          <w:color w:val="000000"/>
        </w:rPr>
        <w:t>Supervising Practitioners</w:t>
      </w:r>
      <w:r w:rsidR="00E370AF">
        <w:rPr>
          <w:rFonts w:cstheme="minorHAnsi"/>
          <w:color w:val="000000"/>
        </w:rPr>
        <w:t xml:space="preserve"> (SP)</w:t>
      </w:r>
      <w:r w:rsidR="00AE7A0B">
        <w:rPr>
          <w:rFonts w:cstheme="minorHAnsi"/>
          <w:color w:val="000000"/>
        </w:rPr>
        <w:t xml:space="preserve"> and Program Supervisors</w:t>
      </w:r>
      <w:r w:rsidR="00E370AF">
        <w:rPr>
          <w:rFonts w:cstheme="minorHAnsi"/>
          <w:color w:val="000000"/>
        </w:rPr>
        <w:t xml:space="preserve"> (PS)</w:t>
      </w:r>
      <w:r w:rsidR="00AE7A0B" w:rsidRPr="00C91D87">
        <w:rPr>
          <w:rFonts w:cstheme="minorHAnsi"/>
          <w:color w:val="000000"/>
        </w:rPr>
        <w:t xml:space="preserve"> are asked to complete this evaluation</w:t>
      </w:r>
      <w:r w:rsidR="00AE7A0B">
        <w:rPr>
          <w:rFonts w:cstheme="minorHAnsi"/>
          <w:color w:val="000000"/>
        </w:rPr>
        <w:t xml:space="preserve"> after each observation </w:t>
      </w:r>
      <w:r>
        <w:rPr>
          <w:rFonts w:cstheme="minorHAnsi"/>
          <w:color w:val="000000"/>
        </w:rPr>
        <w:t xml:space="preserve">of the Teacher Candidate </w:t>
      </w:r>
      <w:r w:rsidR="00E370AF">
        <w:rPr>
          <w:rFonts w:cstheme="minorHAnsi"/>
          <w:color w:val="000000"/>
        </w:rPr>
        <w:t xml:space="preserve">(TC). </w:t>
      </w:r>
      <w:r>
        <w:rPr>
          <w:rFonts w:cstheme="minorHAnsi"/>
          <w:color w:val="000000"/>
        </w:rPr>
        <w:t xml:space="preserve">This assessment is meant </w:t>
      </w:r>
      <w:r w:rsidR="00AE7A0B" w:rsidRPr="00C91D87">
        <w:rPr>
          <w:rFonts w:cstheme="minorHAnsi"/>
          <w:color w:val="000000"/>
        </w:rPr>
        <w:t>to assess basic skills, behaviors, and attitudes related to the Professional Sta</w:t>
      </w:r>
      <w:r w:rsidR="00AE7A0B">
        <w:rPr>
          <w:rFonts w:cstheme="minorHAnsi"/>
          <w:color w:val="000000"/>
        </w:rPr>
        <w:t>nd</w:t>
      </w:r>
      <w:r>
        <w:rPr>
          <w:rFonts w:cstheme="minorHAnsi"/>
          <w:color w:val="000000"/>
        </w:rPr>
        <w:t xml:space="preserve">ards for Teachers listed below. </w:t>
      </w:r>
    </w:p>
    <w:p w:rsidR="00025B5E" w:rsidRPr="00025B5E" w:rsidRDefault="00025B5E" w:rsidP="00025B5E">
      <w:pPr>
        <w:numPr>
          <w:ilvl w:val="0"/>
          <w:numId w:val="1"/>
        </w:numPr>
        <w:contextualSpacing/>
        <w:rPr>
          <w:rFonts w:cstheme="minorHAnsi"/>
        </w:rPr>
      </w:pPr>
      <w:r>
        <w:rPr>
          <w:rFonts w:cstheme="minorHAnsi"/>
        </w:rPr>
        <w:t>Teacher Candidate works with their hos</w:t>
      </w:r>
      <w:r w:rsidRPr="00025B5E">
        <w:rPr>
          <w:rFonts w:cstheme="minorHAnsi"/>
        </w:rPr>
        <w:t xml:space="preserve">t teacher to identify a lesson plan to develop and deliver a lesson in the designated content area.  </w:t>
      </w:r>
    </w:p>
    <w:p w:rsidR="00E370AF" w:rsidRDefault="00025B5E" w:rsidP="00E370AF">
      <w:pPr>
        <w:numPr>
          <w:ilvl w:val="0"/>
          <w:numId w:val="1"/>
        </w:numPr>
        <w:contextualSpacing/>
        <w:rPr>
          <w:rFonts w:cstheme="minorHAnsi"/>
        </w:rPr>
      </w:pPr>
      <w:r w:rsidRPr="00025B5E">
        <w:rPr>
          <w:rFonts w:cstheme="minorHAnsi"/>
        </w:rPr>
        <w:t xml:space="preserve">Teacher candidate </w:t>
      </w:r>
      <w:r w:rsidR="00E370AF">
        <w:rPr>
          <w:rFonts w:cstheme="minorHAnsi"/>
        </w:rPr>
        <w:t xml:space="preserve">develops and </w:t>
      </w:r>
      <w:r w:rsidRPr="00025B5E">
        <w:rPr>
          <w:rFonts w:cstheme="minorHAnsi"/>
        </w:rPr>
        <w:t>submits</w:t>
      </w:r>
      <w:r w:rsidR="00E370AF">
        <w:rPr>
          <w:rFonts w:cstheme="minorHAnsi"/>
        </w:rPr>
        <w:t xml:space="preserve"> a formal</w:t>
      </w:r>
      <w:r w:rsidRPr="00025B5E">
        <w:rPr>
          <w:rFonts w:cstheme="minorHAnsi"/>
        </w:rPr>
        <w:t xml:space="preserve"> lesson</w:t>
      </w:r>
      <w:r w:rsidR="00E370AF">
        <w:rPr>
          <w:rFonts w:cstheme="minorHAnsi"/>
        </w:rPr>
        <w:t xml:space="preserve"> plan to the SP and PS  </w:t>
      </w:r>
      <w:r w:rsidR="00E370AF" w:rsidRPr="00E370AF">
        <w:rPr>
          <w:rFonts w:cstheme="minorHAnsi"/>
          <w:b/>
          <w:i/>
        </w:rPr>
        <w:t>24-48 PRIOR</w:t>
      </w:r>
      <w:r w:rsidR="00E370AF">
        <w:rPr>
          <w:rFonts w:cstheme="minorHAnsi"/>
        </w:rPr>
        <w:t xml:space="preserve"> to the scheduled </w:t>
      </w:r>
      <w:r>
        <w:rPr>
          <w:rFonts w:cstheme="minorHAnsi"/>
        </w:rPr>
        <w:t>observation</w:t>
      </w:r>
      <w:r w:rsidR="00E370AF">
        <w:rPr>
          <w:rFonts w:cstheme="minorHAnsi"/>
        </w:rPr>
        <w:t>.</w:t>
      </w:r>
    </w:p>
    <w:p w:rsidR="00E370AF" w:rsidRPr="00E370AF" w:rsidRDefault="00E370AF" w:rsidP="00E370AF">
      <w:pPr>
        <w:ind w:left="720"/>
        <w:contextualSpacing/>
        <w:rPr>
          <w:rFonts w:cstheme="minorHAnsi"/>
        </w:rPr>
      </w:pPr>
    </w:p>
    <w:tbl>
      <w:tblPr>
        <w:tblpPr w:leftFromText="180" w:rightFromText="180" w:vertAnchor="text" w:tblpX="175" w:tblpY="1"/>
        <w:tblOverlap w:val="neve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2678"/>
        <w:gridCol w:w="1585"/>
        <w:gridCol w:w="5042"/>
      </w:tblGrid>
      <w:tr w:rsidR="00025B5E" w:rsidRPr="00025B5E" w:rsidTr="0093322A">
        <w:trPr>
          <w:trHeight w:val="530"/>
        </w:trPr>
        <w:tc>
          <w:tcPr>
            <w:tcW w:w="4055" w:type="dxa"/>
            <w:gridSpan w:val="2"/>
            <w:shd w:val="clear" w:color="auto" w:fill="auto"/>
          </w:tcPr>
          <w:p w:rsidR="00025B5E" w:rsidRPr="00025B5E" w:rsidRDefault="00025B5E" w:rsidP="00025B5E">
            <w:pPr>
              <w:spacing w:after="0" w:line="240" w:lineRule="auto"/>
              <w:rPr>
                <w:rFonts w:eastAsia="Times New Roman" w:cstheme="minorHAnsi"/>
                <w:b/>
                <w:color w:val="000000"/>
              </w:rPr>
            </w:pPr>
            <w:r w:rsidRPr="00025B5E">
              <w:rPr>
                <w:rFonts w:eastAsia="Times New Roman" w:cstheme="minorHAnsi"/>
                <w:b/>
                <w:color w:val="000000"/>
              </w:rPr>
              <w:t xml:space="preserve">Semester/Year: </w:t>
            </w:r>
          </w:p>
        </w:tc>
        <w:tc>
          <w:tcPr>
            <w:tcW w:w="6650" w:type="dxa"/>
            <w:gridSpan w:val="2"/>
            <w:shd w:val="clear" w:color="auto" w:fill="auto"/>
          </w:tcPr>
          <w:p w:rsidR="00025B5E" w:rsidRPr="00025B5E" w:rsidRDefault="00025B5E" w:rsidP="00025B5E">
            <w:pPr>
              <w:spacing w:after="0" w:line="240" w:lineRule="auto"/>
              <w:rPr>
                <w:rFonts w:eastAsia="Times New Roman" w:cstheme="minorHAnsi"/>
                <w:b/>
                <w:color w:val="000000"/>
              </w:rPr>
            </w:pPr>
            <w:r w:rsidRPr="00025B5E">
              <w:rPr>
                <w:rFonts w:eastAsia="Times New Roman" w:cstheme="minorHAnsi"/>
                <w:b/>
                <w:color w:val="000000"/>
                <w:szCs w:val="24"/>
              </w:rPr>
              <w:t>Student Name:</w:t>
            </w:r>
          </w:p>
        </w:tc>
      </w:tr>
      <w:tr w:rsidR="00025B5E" w:rsidRPr="00025B5E" w:rsidTr="0093322A">
        <w:trPr>
          <w:trHeight w:val="710"/>
        </w:trPr>
        <w:tc>
          <w:tcPr>
            <w:tcW w:w="5648" w:type="dxa"/>
            <w:gridSpan w:val="3"/>
            <w:shd w:val="clear" w:color="auto" w:fill="auto"/>
          </w:tcPr>
          <w:p w:rsidR="00025B5E" w:rsidRPr="00025B5E" w:rsidRDefault="00025B5E" w:rsidP="00025B5E">
            <w:pPr>
              <w:spacing w:after="0" w:line="240" w:lineRule="auto"/>
              <w:rPr>
                <w:rFonts w:eastAsia="Times New Roman" w:cstheme="minorHAnsi"/>
                <w:b/>
                <w:color w:val="000000"/>
                <w:szCs w:val="24"/>
              </w:rPr>
            </w:pPr>
            <w:r w:rsidRPr="00025B5E">
              <w:rPr>
                <w:rFonts w:eastAsia="Times New Roman" w:cstheme="minorHAnsi"/>
                <w:b/>
                <w:color w:val="000000"/>
                <w:szCs w:val="24"/>
              </w:rPr>
              <w:t>School:</w:t>
            </w:r>
            <w:r w:rsidRPr="00025B5E">
              <w:rPr>
                <w:rFonts w:eastAsia="Times New Roman" w:cstheme="minorHAnsi"/>
                <w:b/>
                <w:color w:val="000000"/>
                <w:szCs w:val="24"/>
              </w:rPr>
              <w:tab/>
            </w:r>
            <w:r w:rsidRPr="00025B5E">
              <w:rPr>
                <w:rFonts w:eastAsia="Times New Roman" w:cstheme="minorHAnsi"/>
                <w:b/>
                <w:color w:val="000000"/>
                <w:szCs w:val="24"/>
              </w:rPr>
              <w:tab/>
            </w:r>
            <w:r w:rsidRPr="00025B5E">
              <w:rPr>
                <w:rFonts w:eastAsia="Times New Roman" w:cstheme="minorHAnsi"/>
                <w:b/>
                <w:color w:val="000000"/>
                <w:szCs w:val="24"/>
              </w:rPr>
              <w:tab/>
            </w:r>
            <w:r w:rsidRPr="00025B5E">
              <w:rPr>
                <w:rFonts w:eastAsia="Times New Roman" w:cstheme="minorHAnsi"/>
                <w:b/>
                <w:color w:val="000000"/>
                <w:szCs w:val="24"/>
              </w:rPr>
              <w:tab/>
            </w:r>
            <w:r w:rsidRPr="00025B5E">
              <w:rPr>
                <w:rFonts w:eastAsia="Times New Roman" w:cstheme="minorHAnsi"/>
                <w:b/>
                <w:color w:val="000000"/>
                <w:szCs w:val="24"/>
              </w:rPr>
              <w:tab/>
            </w:r>
            <w:r w:rsidRPr="00025B5E">
              <w:rPr>
                <w:rFonts w:eastAsia="Times New Roman" w:cstheme="minorHAnsi"/>
                <w:b/>
                <w:color w:val="000000"/>
                <w:szCs w:val="24"/>
              </w:rPr>
              <w:tab/>
            </w:r>
            <w:r w:rsidRPr="00025B5E">
              <w:rPr>
                <w:rFonts w:eastAsia="Times New Roman" w:cstheme="minorHAnsi"/>
                <w:b/>
                <w:color w:val="000000"/>
                <w:szCs w:val="24"/>
              </w:rPr>
              <w:tab/>
            </w:r>
          </w:p>
        </w:tc>
        <w:tc>
          <w:tcPr>
            <w:tcW w:w="5057" w:type="dxa"/>
            <w:shd w:val="clear" w:color="auto" w:fill="auto"/>
          </w:tcPr>
          <w:p w:rsidR="00025B5E" w:rsidRPr="00025B5E" w:rsidRDefault="00025B5E" w:rsidP="00025B5E">
            <w:pPr>
              <w:spacing w:after="0" w:line="240" w:lineRule="auto"/>
              <w:rPr>
                <w:rFonts w:eastAsia="Times New Roman" w:cstheme="minorHAnsi"/>
                <w:b/>
                <w:color w:val="000000"/>
                <w:szCs w:val="24"/>
              </w:rPr>
            </w:pPr>
            <w:r w:rsidRPr="00025B5E">
              <w:rPr>
                <w:rFonts w:eastAsia="Times New Roman" w:cstheme="minorHAnsi"/>
                <w:b/>
                <w:color w:val="000000"/>
                <w:szCs w:val="24"/>
              </w:rPr>
              <w:t>School City:</w:t>
            </w:r>
          </w:p>
        </w:tc>
      </w:tr>
      <w:tr w:rsidR="00025B5E" w:rsidRPr="00025B5E" w:rsidTr="0093322A">
        <w:trPr>
          <w:trHeight w:val="710"/>
        </w:trPr>
        <w:tc>
          <w:tcPr>
            <w:tcW w:w="5648" w:type="dxa"/>
            <w:gridSpan w:val="3"/>
            <w:shd w:val="clear" w:color="auto" w:fill="auto"/>
          </w:tcPr>
          <w:p w:rsidR="00025B5E" w:rsidRPr="00025B5E" w:rsidRDefault="00025B5E" w:rsidP="00025B5E">
            <w:pPr>
              <w:spacing w:after="0" w:line="240" w:lineRule="auto"/>
              <w:rPr>
                <w:rFonts w:eastAsia="Times New Roman" w:cstheme="minorHAnsi"/>
                <w:b/>
                <w:color w:val="000000"/>
                <w:szCs w:val="24"/>
              </w:rPr>
            </w:pPr>
            <w:r w:rsidRPr="00025B5E">
              <w:rPr>
                <w:rFonts w:eastAsia="Times New Roman" w:cstheme="minorHAnsi"/>
                <w:b/>
                <w:color w:val="000000"/>
                <w:szCs w:val="24"/>
              </w:rPr>
              <w:t xml:space="preserve">Supervising Practitioner: </w:t>
            </w:r>
            <w:r w:rsidRPr="00025B5E">
              <w:rPr>
                <w:rFonts w:eastAsia="Times New Roman" w:cstheme="minorHAnsi"/>
                <w:b/>
                <w:color w:val="000000"/>
                <w:szCs w:val="24"/>
              </w:rPr>
              <w:tab/>
            </w:r>
            <w:r w:rsidRPr="00025B5E">
              <w:rPr>
                <w:rFonts w:eastAsia="Times New Roman" w:cstheme="minorHAnsi"/>
                <w:b/>
                <w:color w:val="000000"/>
                <w:szCs w:val="24"/>
              </w:rPr>
              <w:tab/>
            </w:r>
            <w:r w:rsidRPr="00025B5E">
              <w:rPr>
                <w:rFonts w:eastAsia="Times New Roman" w:cstheme="minorHAnsi"/>
                <w:b/>
                <w:color w:val="000000"/>
                <w:szCs w:val="24"/>
              </w:rPr>
              <w:tab/>
            </w:r>
            <w:r w:rsidRPr="00025B5E">
              <w:rPr>
                <w:rFonts w:eastAsia="Times New Roman" w:cstheme="minorHAnsi"/>
                <w:b/>
                <w:color w:val="000000"/>
                <w:szCs w:val="24"/>
              </w:rPr>
              <w:tab/>
            </w:r>
            <w:r w:rsidRPr="00025B5E">
              <w:rPr>
                <w:rFonts w:eastAsia="Times New Roman" w:cstheme="minorHAnsi"/>
                <w:b/>
                <w:color w:val="000000"/>
                <w:szCs w:val="24"/>
              </w:rPr>
              <w:tab/>
            </w:r>
          </w:p>
        </w:tc>
        <w:tc>
          <w:tcPr>
            <w:tcW w:w="5057" w:type="dxa"/>
            <w:shd w:val="clear" w:color="auto" w:fill="auto"/>
          </w:tcPr>
          <w:p w:rsidR="00025B5E" w:rsidRPr="00025B5E" w:rsidRDefault="00025B5E" w:rsidP="00025B5E">
            <w:pPr>
              <w:spacing w:after="0" w:line="240" w:lineRule="auto"/>
              <w:rPr>
                <w:rFonts w:eastAsia="Times New Roman" w:cstheme="minorHAnsi"/>
                <w:b/>
                <w:color w:val="000000"/>
                <w:szCs w:val="24"/>
              </w:rPr>
            </w:pPr>
            <w:r w:rsidRPr="00025B5E">
              <w:rPr>
                <w:rFonts w:eastAsia="Times New Roman" w:cstheme="minorHAnsi"/>
                <w:b/>
                <w:color w:val="000000"/>
                <w:szCs w:val="24"/>
              </w:rPr>
              <w:t>Program Supervisor:</w:t>
            </w:r>
          </w:p>
        </w:tc>
      </w:tr>
      <w:tr w:rsidR="00025B5E" w:rsidRPr="00025B5E" w:rsidTr="0093322A">
        <w:trPr>
          <w:trHeight w:val="710"/>
        </w:trPr>
        <w:tc>
          <w:tcPr>
            <w:tcW w:w="5648" w:type="dxa"/>
            <w:gridSpan w:val="3"/>
            <w:tcBorders>
              <w:bottom w:val="single" w:sz="4" w:space="0" w:color="auto"/>
            </w:tcBorders>
            <w:shd w:val="clear" w:color="auto" w:fill="auto"/>
          </w:tcPr>
          <w:p w:rsidR="00025B5E" w:rsidRPr="00025B5E" w:rsidRDefault="0093322A" w:rsidP="00025B5E">
            <w:pPr>
              <w:spacing w:after="0" w:line="240" w:lineRule="auto"/>
              <w:rPr>
                <w:rFonts w:eastAsia="Times New Roman" w:cstheme="minorHAnsi"/>
                <w:b/>
                <w:color w:val="000000"/>
                <w:szCs w:val="24"/>
              </w:rPr>
            </w:pPr>
            <w:r>
              <w:rPr>
                <w:rFonts w:eastAsia="Times New Roman" w:cstheme="minorHAnsi"/>
                <w:b/>
                <w:color w:val="000000"/>
                <w:szCs w:val="24"/>
              </w:rPr>
              <w:t>Grade Level</w:t>
            </w:r>
            <w:r w:rsidR="00025B5E" w:rsidRPr="00025B5E">
              <w:rPr>
                <w:rFonts w:eastAsia="Times New Roman" w:cstheme="minorHAnsi"/>
                <w:b/>
                <w:color w:val="000000"/>
                <w:szCs w:val="24"/>
              </w:rPr>
              <w:t>:</w:t>
            </w:r>
            <w:r w:rsidR="00025B5E" w:rsidRPr="00025B5E">
              <w:rPr>
                <w:rFonts w:eastAsia="Times New Roman" w:cstheme="minorHAnsi"/>
                <w:b/>
                <w:color w:val="000000"/>
                <w:szCs w:val="24"/>
              </w:rPr>
              <w:tab/>
            </w:r>
            <w:r w:rsidR="00025B5E" w:rsidRPr="00025B5E">
              <w:rPr>
                <w:rFonts w:eastAsia="Times New Roman" w:cstheme="minorHAnsi"/>
                <w:b/>
                <w:color w:val="000000"/>
                <w:szCs w:val="24"/>
              </w:rPr>
              <w:tab/>
            </w:r>
            <w:r w:rsidR="00025B5E" w:rsidRPr="00025B5E">
              <w:rPr>
                <w:rFonts w:eastAsia="Times New Roman" w:cstheme="minorHAnsi"/>
                <w:b/>
                <w:color w:val="000000"/>
                <w:szCs w:val="24"/>
              </w:rPr>
              <w:tab/>
            </w:r>
            <w:r w:rsidR="00025B5E" w:rsidRPr="00025B5E">
              <w:rPr>
                <w:rFonts w:eastAsia="Times New Roman" w:cstheme="minorHAnsi"/>
                <w:b/>
                <w:color w:val="000000"/>
                <w:szCs w:val="24"/>
              </w:rPr>
              <w:tab/>
            </w:r>
            <w:r w:rsidR="00025B5E" w:rsidRPr="00025B5E">
              <w:rPr>
                <w:rFonts w:eastAsia="Times New Roman" w:cstheme="minorHAnsi"/>
                <w:b/>
                <w:color w:val="000000"/>
                <w:szCs w:val="24"/>
              </w:rPr>
              <w:tab/>
            </w:r>
            <w:r w:rsidR="00025B5E" w:rsidRPr="00025B5E">
              <w:rPr>
                <w:rFonts w:eastAsia="Times New Roman" w:cstheme="minorHAnsi"/>
                <w:b/>
                <w:color w:val="000000"/>
                <w:szCs w:val="24"/>
              </w:rPr>
              <w:tab/>
              <w:t xml:space="preserve"> </w:t>
            </w:r>
          </w:p>
        </w:tc>
        <w:tc>
          <w:tcPr>
            <w:tcW w:w="5057" w:type="dxa"/>
            <w:tcBorders>
              <w:bottom w:val="single" w:sz="4" w:space="0" w:color="auto"/>
            </w:tcBorders>
            <w:shd w:val="clear" w:color="auto" w:fill="auto"/>
          </w:tcPr>
          <w:p w:rsidR="00025B5E" w:rsidRPr="00025B5E" w:rsidRDefault="00025B5E" w:rsidP="00025B5E">
            <w:pPr>
              <w:spacing w:after="0" w:line="240" w:lineRule="auto"/>
              <w:rPr>
                <w:rFonts w:eastAsia="Times New Roman" w:cstheme="minorHAnsi"/>
                <w:b/>
                <w:color w:val="000000"/>
                <w:szCs w:val="24"/>
              </w:rPr>
            </w:pPr>
            <w:r w:rsidRPr="00025B5E">
              <w:rPr>
                <w:rFonts w:eastAsia="Times New Roman" w:cstheme="minorHAnsi"/>
                <w:b/>
                <w:color w:val="000000"/>
                <w:szCs w:val="24"/>
              </w:rPr>
              <w:t xml:space="preserve">Licensure Area: </w:t>
            </w:r>
          </w:p>
        </w:tc>
      </w:tr>
      <w:tr w:rsidR="0093322A" w:rsidRPr="00025B5E" w:rsidTr="0093322A">
        <w:trPr>
          <w:trHeight w:val="522"/>
        </w:trPr>
        <w:tc>
          <w:tcPr>
            <w:tcW w:w="1365" w:type="dxa"/>
            <w:tcBorders>
              <w:top w:val="single" w:sz="4" w:space="0" w:color="auto"/>
              <w:bottom w:val="single" w:sz="4" w:space="0" w:color="auto"/>
              <w:right w:val="single" w:sz="4" w:space="0" w:color="auto"/>
            </w:tcBorders>
            <w:shd w:val="clear" w:color="auto" w:fill="auto"/>
          </w:tcPr>
          <w:p w:rsidR="0093322A" w:rsidRPr="00025B5E" w:rsidRDefault="0093322A" w:rsidP="00025B5E">
            <w:pPr>
              <w:spacing w:after="0" w:line="240" w:lineRule="auto"/>
              <w:rPr>
                <w:rFonts w:eastAsia="Times New Roman" w:cstheme="minorHAnsi"/>
                <w:b/>
                <w:color w:val="000000"/>
                <w:szCs w:val="24"/>
              </w:rPr>
            </w:pPr>
            <w:r>
              <w:rPr>
                <w:rFonts w:eastAsia="Times New Roman" w:cstheme="minorHAnsi"/>
                <w:b/>
                <w:color w:val="000000"/>
                <w:szCs w:val="24"/>
              </w:rPr>
              <w:t>Date of Observation:</w:t>
            </w:r>
          </w:p>
        </w:tc>
        <w:tc>
          <w:tcPr>
            <w:tcW w:w="4280" w:type="dxa"/>
            <w:gridSpan w:val="2"/>
            <w:tcBorders>
              <w:top w:val="single" w:sz="4" w:space="0" w:color="auto"/>
              <w:left w:val="single" w:sz="4" w:space="0" w:color="auto"/>
              <w:bottom w:val="single" w:sz="4" w:space="0" w:color="auto"/>
              <w:right w:val="single" w:sz="4" w:space="0" w:color="auto"/>
            </w:tcBorders>
            <w:shd w:val="clear" w:color="auto" w:fill="auto"/>
          </w:tcPr>
          <w:p w:rsidR="0093322A" w:rsidRPr="00025B5E" w:rsidRDefault="0093322A" w:rsidP="00025B5E">
            <w:pPr>
              <w:spacing w:after="0" w:line="240" w:lineRule="auto"/>
              <w:ind w:left="50"/>
              <w:rPr>
                <w:rFonts w:eastAsia="Times New Roman" w:cstheme="minorHAnsi"/>
                <w:b/>
                <w:color w:val="000000"/>
                <w:sz w:val="20"/>
                <w:szCs w:val="20"/>
              </w:rPr>
            </w:pPr>
          </w:p>
        </w:tc>
        <w:tc>
          <w:tcPr>
            <w:tcW w:w="5060" w:type="dxa"/>
            <w:tcBorders>
              <w:top w:val="single" w:sz="4" w:space="0" w:color="auto"/>
              <w:left w:val="single" w:sz="4" w:space="0" w:color="auto"/>
              <w:bottom w:val="single" w:sz="4" w:space="0" w:color="auto"/>
              <w:right w:val="single" w:sz="4" w:space="0" w:color="auto"/>
            </w:tcBorders>
            <w:shd w:val="clear" w:color="auto" w:fill="auto"/>
          </w:tcPr>
          <w:p w:rsidR="0093322A" w:rsidRPr="00025B5E" w:rsidRDefault="0093322A" w:rsidP="00025B5E">
            <w:pPr>
              <w:spacing w:after="0" w:line="240" w:lineRule="auto"/>
              <w:ind w:left="50"/>
              <w:rPr>
                <w:rFonts w:eastAsia="Times New Roman" w:cstheme="minorHAnsi"/>
                <w:b/>
                <w:color w:val="000000"/>
                <w:sz w:val="20"/>
                <w:szCs w:val="20"/>
              </w:rPr>
            </w:pPr>
            <w:r>
              <w:rPr>
                <w:rFonts w:eastAsia="Times New Roman" w:cstheme="minorHAnsi"/>
                <w:b/>
                <w:color w:val="000000"/>
                <w:sz w:val="20"/>
                <w:szCs w:val="20"/>
              </w:rPr>
              <w:t xml:space="preserve">Small Group Lesson </w:t>
            </w:r>
            <w:r>
              <w:rPr>
                <w:rFonts w:ascii="Segoe UI Symbol" w:eastAsia="Times New Roman" w:hAnsi="Segoe UI Symbol" w:cstheme="minorHAnsi"/>
                <w:b/>
                <w:color w:val="000000"/>
                <w:sz w:val="20"/>
                <w:szCs w:val="20"/>
              </w:rPr>
              <w:t>☐</w:t>
            </w:r>
            <w:r>
              <w:rPr>
                <w:rFonts w:eastAsia="Times New Roman" w:cstheme="minorHAnsi"/>
                <w:b/>
                <w:color w:val="000000"/>
                <w:sz w:val="20"/>
                <w:szCs w:val="20"/>
              </w:rPr>
              <w:t xml:space="preserve">       Whole Group Lesson </w:t>
            </w:r>
            <w:r>
              <w:rPr>
                <w:rFonts w:ascii="Segoe UI Symbol" w:eastAsia="Times New Roman" w:hAnsi="Segoe UI Symbol" w:cstheme="minorHAnsi"/>
                <w:b/>
                <w:color w:val="000000"/>
                <w:sz w:val="20"/>
                <w:szCs w:val="20"/>
              </w:rPr>
              <w:t>☐</w:t>
            </w:r>
          </w:p>
        </w:tc>
      </w:tr>
    </w:tbl>
    <w:p w:rsidR="00376E22" w:rsidRDefault="00376E22" w:rsidP="00592B5E">
      <w:pPr>
        <w:rPr>
          <w:rFonts w:cstheme="minorHAnsi"/>
        </w:rPr>
      </w:pPr>
    </w:p>
    <w:tbl>
      <w:tblPr>
        <w:tblStyle w:val="TableGrid"/>
        <w:tblW w:w="0" w:type="auto"/>
        <w:jc w:val="center"/>
        <w:tblLook w:val="04A0" w:firstRow="1" w:lastRow="0" w:firstColumn="1" w:lastColumn="0" w:noHBand="0" w:noVBand="1"/>
      </w:tblPr>
      <w:tblGrid>
        <w:gridCol w:w="1975"/>
        <w:gridCol w:w="2850"/>
        <w:gridCol w:w="2850"/>
        <w:gridCol w:w="2850"/>
      </w:tblGrid>
      <w:tr w:rsidR="00E370AF" w:rsidRPr="00556643" w:rsidTr="00E423C2">
        <w:trPr>
          <w:jc w:val="center"/>
        </w:trPr>
        <w:tc>
          <w:tcPr>
            <w:tcW w:w="1975" w:type="dxa"/>
          </w:tcPr>
          <w:p w:rsidR="00E370AF" w:rsidRPr="00556643" w:rsidRDefault="00E370AF" w:rsidP="00B600D1">
            <w:pPr>
              <w:jc w:val="center"/>
              <w:rPr>
                <w:b/>
                <w:bCs/>
              </w:rPr>
            </w:pPr>
            <w:r>
              <w:rPr>
                <w:b/>
                <w:bCs/>
              </w:rPr>
              <w:t xml:space="preserve">Indicator </w:t>
            </w:r>
          </w:p>
        </w:tc>
        <w:tc>
          <w:tcPr>
            <w:tcW w:w="2850" w:type="dxa"/>
          </w:tcPr>
          <w:p w:rsidR="00E370AF" w:rsidRPr="00556643" w:rsidRDefault="00E370AF" w:rsidP="00B600D1">
            <w:pPr>
              <w:jc w:val="center"/>
              <w:rPr>
                <w:b/>
                <w:bCs/>
              </w:rPr>
            </w:pPr>
            <w:r w:rsidRPr="00556643">
              <w:rPr>
                <w:b/>
                <w:bCs/>
              </w:rPr>
              <w:t>Not Meeting</w:t>
            </w:r>
          </w:p>
        </w:tc>
        <w:tc>
          <w:tcPr>
            <w:tcW w:w="2850" w:type="dxa"/>
          </w:tcPr>
          <w:p w:rsidR="00E370AF" w:rsidRPr="00556643" w:rsidRDefault="00E370AF" w:rsidP="00B600D1">
            <w:pPr>
              <w:jc w:val="center"/>
              <w:rPr>
                <w:b/>
                <w:bCs/>
              </w:rPr>
            </w:pPr>
            <w:r w:rsidRPr="00556643">
              <w:rPr>
                <w:b/>
                <w:bCs/>
              </w:rPr>
              <w:t>Approaching</w:t>
            </w:r>
          </w:p>
        </w:tc>
        <w:tc>
          <w:tcPr>
            <w:tcW w:w="2850" w:type="dxa"/>
          </w:tcPr>
          <w:p w:rsidR="00E370AF" w:rsidRPr="00556643" w:rsidRDefault="00E370AF" w:rsidP="00B600D1">
            <w:pPr>
              <w:jc w:val="center"/>
              <w:rPr>
                <w:b/>
                <w:bCs/>
              </w:rPr>
            </w:pPr>
            <w:r w:rsidRPr="00556643">
              <w:rPr>
                <w:b/>
                <w:bCs/>
              </w:rPr>
              <w:t>Meeting</w:t>
            </w:r>
          </w:p>
        </w:tc>
      </w:tr>
      <w:tr w:rsidR="00E370AF" w:rsidTr="00E423C2">
        <w:trPr>
          <w:jc w:val="center"/>
        </w:trPr>
        <w:tc>
          <w:tcPr>
            <w:tcW w:w="1975" w:type="dxa"/>
          </w:tcPr>
          <w:p w:rsidR="00E370AF" w:rsidRDefault="00E370AF" w:rsidP="00B600D1">
            <w:r>
              <w:t xml:space="preserve">I-A-1. Subject Matter Knowledge (SMK) </w:t>
            </w:r>
          </w:p>
          <w:p w:rsidR="00E370AF" w:rsidRPr="00BF3347" w:rsidRDefault="00E370AF" w:rsidP="00E370AF">
            <w:pPr>
              <w:rPr>
                <w:i/>
                <w:iCs/>
              </w:rPr>
            </w:pPr>
          </w:p>
        </w:tc>
        <w:tc>
          <w:tcPr>
            <w:tcW w:w="2850" w:type="dxa"/>
          </w:tcPr>
          <w:p w:rsidR="00E370AF" w:rsidRDefault="00E370AF" w:rsidP="00B600D1">
            <w:r>
              <w:t>Lesson m</w:t>
            </w:r>
            <w:r w:rsidRPr="00E539B3">
              <w:t xml:space="preserve">aterials </w:t>
            </w:r>
            <w:r>
              <w:t xml:space="preserve">demonstrate superficial knowledge and understanding of subject matter and pedagogy. Lesson does not utilize </w:t>
            </w:r>
            <w:r w:rsidRPr="00E539B3">
              <w:t xml:space="preserve">well-aligned content specific </w:t>
            </w:r>
            <w:r>
              <w:t>strategies.</w:t>
            </w:r>
          </w:p>
          <w:p w:rsidR="00E370AF" w:rsidRDefault="00E370AF" w:rsidP="00B600D1"/>
        </w:tc>
        <w:tc>
          <w:tcPr>
            <w:tcW w:w="2850" w:type="dxa"/>
          </w:tcPr>
          <w:p w:rsidR="00E370AF" w:rsidRDefault="00E370AF" w:rsidP="00B600D1">
            <w:r>
              <w:t>Lesson m</w:t>
            </w:r>
            <w:r w:rsidRPr="00E539B3">
              <w:t xml:space="preserve">aterials </w:t>
            </w:r>
            <w:r>
              <w:t xml:space="preserve">demonstrate some knowledge and understanding of subject matter and pedagogy. Lesson utilizes some </w:t>
            </w:r>
            <w:r w:rsidRPr="00E539B3">
              <w:t xml:space="preserve">well-aligned content specific </w:t>
            </w:r>
            <w:r>
              <w:t>strategies.</w:t>
            </w:r>
          </w:p>
        </w:tc>
        <w:tc>
          <w:tcPr>
            <w:tcW w:w="2850" w:type="dxa"/>
          </w:tcPr>
          <w:p w:rsidR="00E370AF" w:rsidRDefault="00E370AF" w:rsidP="00B600D1">
            <w:r>
              <w:t>Lesson m</w:t>
            </w:r>
            <w:r w:rsidRPr="00E539B3">
              <w:t xml:space="preserve">aterials </w:t>
            </w:r>
            <w:r>
              <w:t xml:space="preserve">demonstrate sound knowledge and understanding of subject matter and utilizes </w:t>
            </w:r>
            <w:r w:rsidRPr="00E539B3">
              <w:t>well-aligned content</w:t>
            </w:r>
            <w:r>
              <w:t>-</w:t>
            </w:r>
            <w:r w:rsidRPr="00E539B3">
              <w:t xml:space="preserve">specific </w:t>
            </w:r>
            <w:r>
              <w:t>strategies.</w:t>
            </w:r>
          </w:p>
        </w:tc>
      </w:tr>
      <w:tr w:rsidR="00FA7A5B" w:rsidTr="00E423C2">
        <w:trPr>
          <w:jc w:val="center"/>
        </w:trPr>
        <w:tc>
          <w:tcPr>
            <w:tcW w:w="1975" w:type="dxa"/>
          </w:tcPr>
          <w:p w:rsidR="00FA7A5B" w:rsidRDefault="00FA7A5B" w:rsidP="00B600D1">
            <w:r>
              <w:t xml:space="preserve">Rating: </w:t>
            </w:r>
          </w:p>
        </w:tc>
        <w:tc>
          <w:tcPr>
            <w:tcW w:w="2850" w:type="dxa"/>
          </w:tcPr>
          <w:p w:rsidR="00FA7A5B" w:rsidRDefault="00FA7A5B" w:rsidP="00B600D1"/>
        </w:tc>
        <w:tc>
          <w:tcPr>
            <w:tcW w:w="2850" w:type="dxa"/>
          </w:tcPr>
          <w:p w:rsidR="00FA7A5B" w:rsidRDefault="00FA7A5B" w:rsidP="00B600D1"/>
        </w:tc>
        <w:tc>
          <w:tcPr>
            <w:tcW w:w="2850" w:type="dxa"/>
          </w:tcPr>
          <w:p w:rsidR="00FA7A5B" w:rsidRDefault="00FA7A5B" w:rsidP="00B600D1"/>
        </w:tc>
      </w:tr>
      <w:tr w:rsidR="00E423C2" w:rsidTr="00D22453">
        <w:trPr>
          <w:jc w:val="center"/>
        </w:trPr>
        <w:tc>
          <w:tcPr>
            <w:tcW w:w="10525" w:type="dxa"/>
            <w:gridSpan w:val="4"/>
          </w:tcPr>
          <w:p w:rsidR="00E423C2" w:rsidRDefault="00E423C2" w:rsidP="00B600D1">
            <w:r>
              <w:t xml:space="preserve">Feedback </w:t>
            </w:r>
          </w:p>
          <w:p w:rsidR="00E423C2" w:rsidRDefault="00E423C2" w:rsidP="00B600D1"/>
          <w:p w:rsidR="00E423C2" w:rsidRDefault="00E423C2" w:rsidP="00B600D1"/>
          <w:p w:rsidR="00E423C2" w:rsidRDefault="00E423C2" w:rsidP="00B600D1"/>
          <w:p w:rsidR="00E423C2" w:rsidRDefault="00E423C2" w:rsidP="00B600D1"/>
          <w:p w:rsidR="00E423C2" w:rsidRDefault="00E423C2" w:rsidP="00B600D1"/>
          <w:p w:rsidR="00E423C2" w:rsidRDefault="00E423C2" w:rsidP="00B600D1"/>
          <w:p w:rsidR="00E423C2" w:rsidRDefault="00E423C2" w:rsidP="00B600D1"/>
          <w:p w:rsidR="00E423C2" w:rsidRDefault="00E423C2" w:rsidP="00B600D1"/>
          <w:p w:rsidR="00E423C2" w:rsidRDefault="00E423C2" w:rsidP="00B600D1"/>
          <w:p w:rsidR="00E423C2" w:rsidRDefault="00E423C2" w:rsidP="00B600D1"/>
          <w:p w:rsidR="00E423C2" w:rsidRDefault="00E423C2" w:rsidP="00B600D1"/>
          <w:p w:rsidR="00E423C2" w:rsidRDefault="00E423C2" w:rsidP="00B600D1"/>
        </w:tc>
      </w:tr>
      <w:tr w:rsidR="00E175FE" w:rsidTr="00E423C2">
        <w:trPr>
          <w:trHeight w:val="710"/>
          <w:jc w:val="center"/>
        </w:trPr>
        <w:tc>
          <w:tcPr>
            <w:tcW w:w="1975" w:type="dxa"/>
            <w:tcBorders>
              <w:top w:val="single" w:sz="4" w:space="0" w:color="auto"/>
            </w:tcBorders>
          </w:tcPr>
          <w:p w:rsidR="00E175FE" w:rsidRPr="007B33FB" w:rsidRDefault="00E175FE" w:rsidP="00E175FE">
            <w:pPr>
              <w:jc w:val="center"/>
              <w:rPr>
                <w:b/>
              </w:rPr>
            </w:pPr>
            <w:r w:rsidRPr="007B33FB">
              <w:rPr>
                <w:b/>
              </w:rPr>
              <w:lastRenderedPageBreak/>
              <w:t>Indicator</w:t>
            </w:r>
          </w:p>
        </w:tc>
        <w:tc>
          <w:tcPr>
            <w:tcW w:w="2850" w:type="dxa"/>
            <w:tcBorders>
              <w:top w:val="single" w:sz="4" w:space="0" w:color="auto"/>
            </w:tcBorders>
          </w:tcPr>
          <w:p w:rsidR="00E175FE" w:rsidRPr="007B33FB" w:rsidRDefault="00E175FE" w:rsidP="00E175FE">
            <w:pPr>
              <w:jc w:val="center"/>
              <w:rPr>
                <w:b/>
              </w:rPr>
            </w:pPr>
            <w:r w:rsidRPr="007B33FB">
              <w:rPr>
                <w:b/>
              </w:rPr>
              <w:t>Not Meeting</w:t>
            </w:r>
          </w:p>
        </w:tc>
        <w:tc>
          <w:tcPr>
            <w:tcW w:w="2850" w:type="dxa"/>
            <w:tcBorders>
              <w:top w:val="single" w:sz="4" w:space="0" w:color="auto"/>
            </w:tcBorders>
          </w:tcPr>
          <w:p w:rsidR="00E175FE" w:rsidRPr="007B33FB" w:rsidRDefault="00E175FE" w:rsidP="00E175FE">
            <w:pPr>
              <w:jc w:val="center"/>
              <w:rPr>
                <w:b/>
              </w:rPr>
            </w:pPr>
            <w:r w:rsidRPr="007B33FB">
              <w:rPr>
                <w:b/>
              </w:rPr>
              <w:t>Approaching</w:t>
            </w:r>
          </w:p>
        </w:tc>
        <w:tc>
          <w:tcPr>
            <w:tcW w:w="2850" w:type="dxa"/>
            <w:tcBorders>
              <w:top w:val="single" w:sz="4" w:space="0" w:color="auto"/>
            </w:tcBorders>
          </w:tcPr>
          <w:p w:rsidR="00E175FE" w:rsidRPr="007B33FB" w:rsidRDefault="00E175FE" w:rsidP="00E175FE">
            <w:pPr>
              <w:jc w:val="center"/>
              <w:rPr>
                <w:b/>
              </w:rPr>
            </w:pPr>
            <w:r w:rsidRPr="007B33FB">
              <w:rPr>
                <w:b/>
              </w:rPr>
              <w:t>Meeting</w:t>
            </w:r>
          </w:p>
        </w:tc>
      </w:tr>
      <w:tr w:rsidR="00E175FE" w:rsidTr="00E423C2">
        <w:trPr>
          <w:trHeight w:val="2330"/>
          <w:jc w:val="center"/>
        </w:trPr>
        <w:tc>
          <w:tcPr>
            <w:tcW w:w="1975" w:type="dxa"/>
            <w:tcBorders>
              <w:top w:val="single" w:sz="4" w:space="0" w:color="auto"/>
            </w:tcBorders>
          </w:tcPr>
          <w:p w:rsidR="00E175FE" w:rsidRDefault="00E175FE" w:rsidP="00E175FE"/>
          <w:p w:rsidR="00E175FE" w:rsidRDefault="00E175FE" w:rsidP="00E175FE">
            <w:r>
              <w:t xml:space="preserve">I-A-4. Well-Structured Lessons </w:t>
            </w:r>
          </w:p>
          <w:p w:rsidR="00E175FE" w:rsidRDefault="00E175FE" w:rsidP="00E175FE"/>
        </w:tc>
        <w:tc>
          <w:tcPr>
            <w:tcW w:w="2850" w:type="dxa"/>
            <w:tcBorders>
              <w:top w:val="single" w:sz="4" w:space="0" w:color="auto"/>
            </w:tcBorders>
          </w:tcPr>
          <w:p w:rsidR="00E175FE" w:rsidRDefault="00E175FE" w:rsidP="00E175FE">
            <w:r>
              <w:t>Developed lesson without measurable, challenging objectives that included inappropriate student engagement strategies, pacing, sequence, activities, materials, resources, and/or groping for the intended outcome of the students in the class.</w:t>
            </w:r>
          </w:p>
        </w:tc>
        <w:tc>
          <w:tcPr>
            <w:tcW w:w="2850" w:type="dxa"/>
            <w:tcBorders>
              <w:top w:val="single" w:sz="4" w:space="0" w:color="auto"/>
            </w:tcBorders>
          </w:tcPr>
          <w:p w:rsidR="00E175FE" w:rsidRDefault="00E175FE" w:rsidP="00E175FE">
            <w:r>
              <w:t>Develops lesson with objectives which are not measurable and/or challenging, only some elements of appropriate student engagement strategies, pacing, sequence, activities, materials, resources and grouping.</w:t>
            </w:r>
          </w:p>
        </w:tc>
        <w:tc>
          <w:tcPr>
            <w:tcW w:w="2850" w:type="dxa"/>
            <w:tcBorders>
              <w:top w:val="single" w:sz="4" w:space="0" w:color="auto"/>
            </w:tcBorders>
          </w:tcPr>
          <w:p w:rsidR="00E175FE" w:rsidRDefault="00E175FE" w:rsidP="00E175FE">
            <w:r>
              <w:t>Develops well-structured lessons with challenging, measurable objectives and appropriate student engagement strategies, pacing, sequence, activities, materials, resources, technologies, and grouping.</w:t>
            </w:r>
          </w:p>
        </w:tc>
      </w:tr>
      <w:tr w:rsidR="00E175FE" w:rsidTr="00E423C2">
        <w:trPr>
          <w:jc w:val="center"/>
        </w:trPr>
        <w:tc>
          <w:tcPr>
            <w:tcW w:w="1975" w:type="dxa"/>
            <w:tcBorders>
              <w:top w:val="single" w:sz="4" w:space="0" w:color="auto"/>
            </w:tcBorders>
          </w:tcPr>
          <w:p w:rsidR="00E175FE" w:rsidRDefault="007B33FB" w:rsidP="00E175FE">
            <w:r>
              <w:t xml:space="preserve">Rating </w:t>
            </w:r>
          </w:p>
        </w:tc>
        <w:tc>
          <w:tcPr>
            <w:tcW w:w="2850" w:type="dxa"/>
            <w:tcBorders>
              <w:top w:val="single" w:sz="4" w:space="0" w:color="auto"/>
            </w:tcBorders>
          </w:tcPr>
          <w:p w:rsidR="00E175FE" w:rsidRDefault="00E175FE" w:rsidP="00E175FE"/>
        </w:tc>
        <w:tc>
          <w:tcPr>
            <w:tcW w:w="2850" w:type="dxa"/>
            <w:tcBorders>
              <w:top w:val="single" w:sz="4" w:space="0" w:color="auto"/>
            </w:tcBorders>
          </w:tcPr>
          <w:p w:rsidR="00E175FE" w:rsidRDefault="00E175FE" w:rsidP="00E175FE"/>
        </w:tc>
        <w:tc>
          <w:tcPr>
            <w:tcW w:w="2850" w:type="dxa"/>
            <w:tcBorders>
              <w:top w:val="single" w:sz="4" w:space="0" w:color="auto"/>
            </w:tcBorders>
          </w:tcPr>
          <w:p w:rsidR="00E175FE" w:rsidRDefault="00E175FE" w:rsidP="00E175FE"/>
        </w:tc>
      </w:tr>
      <w:tr w:rsidR="007B33FB" w:rsidTr="00E423C2">
        <w:trPr>
          <w:jc w:val="center"/>
        </w:trPr>
        <w:tc>
          <w:tcPr>
            <w:tcW w:w="10525" w:type="dxa"/>
            <w:gridSpan w:val="4"/>
            <w:tcBorders>
              <w:bottom w:val="nil"/>
            </w:tcBorders>
          </w:tcPr>
          <w:p w:rsidR="007B33FB" w:rsidRDefault="007B33FB" w:rsidP="00E175FE">
            <w:r>
              <w:t>Feedback:</w:t>
            </w:r>
          </w:p>
        </w:tc>
      </w:tr>
      <w:tr w:rsidR="00E175FE" w:rsidTr="00E423C2">
        <w:trPr>
          <w:jc w:val="center"/>
        </w:trPr>
        <w:tc>
          <w:tcPr>
            <w:tcW w:w="10525" w:type="dxa"/>
            <w:gridSpan w:val="4"/>
            <w:tcBorders>
              <w:top w:val="nil"/>
              <w:bottom w:val="nil"/>
            </w:tcBorders>
          </w:tcPr>
          <w:p w:rsidR="00E175FE" w:rsidRDefault="00E175FE" w:rsidP="00E175FE">
            <w:pPr>
              <w:tabs>
                <w:tab w:val="left" w:pos="2650"/>
              </w:tabs>
            </w:pPr>
          </w:p>
          <w:p w:rsidR="00004D6E" w:rsidRDefault="00004D6E" w:rsidP="00E175FE">
            <w:pPr>
              <w:tabs>
                <w:tab w:val="left" w:pos="2650"/>
              </w:tabs>
            </w:pPr>
          </w:p>
          <w:p w:rsidR="00004D6E" w:rsidRDefault="00004D6E" w:rsidP="00E175FE">
            <w:pPr>
              <w:tabs>
                <w:tab w:val="left" w:pos="2650"/>
              </w:tabs>
            </w:pPr>
          </w:p>
          <w:p w:rsidR="00004D6E" w:rsidRDefault="00004D6E" w:rsidP="00E175FE">
            <w:pPr>
              <w:tabs>
                <w:tab w:val="left" w:pos="2650"/>
              </w:tabs>
            </w:pPr>
          </w:p>
          <w:p w:rsidR="00004D6E" w:rsidRDefault="00004D6E" w:rsidP="00E175FE">
            <w:pPr>
              <w:tabs>
                <w:tab w:val="left" w:pos="2650"/>
              </w:tabs>
            </w:pPr>
          </w:p>
          <w:p w:rsidR="00E175FE" w:rsidRDefault="00E175FE" w:rsidP="00E175FE">
            <w:pPr>
              <w:tabs>
                <w:tab w:val="left" w:pos="2650"/>
              </w:tabs>
            </w:pPr>
          </w:p>
          <w:p w:rsidR="00E175FE" w:rsidRDefault="00E175FE" w:rsidP="00E175FE">
            <w:pPr>
              <w:tabs>
                <w:tab w:val="left" w:pos="2650"/>
              </w:tabs>
            </w:pPr>
          </w:p>
          <w:p w:rsidR="00E175FE" w:rsidRDefault="00E175FE" w:rsidP="00E175FE">
            <w:pPr>
              <w:tabs>
                <w:tab w:val="left" w:pos="2650"/>
              </w:tabs>
            </w:pPr>
          </w:p>
          <w:p w:rsidR="00E175FE" w:rsidRDefault="00E175FE" w:rsidP="00E175FE">
            <w:pPr>
              <w:tabs>
                <w:tab w:val="left" w:pos="2650"/>
              </w:tabs>
            </w:pPr>
          </w:p>
          <w:p w:rsidR="00E175FE" w:rsidRDefault="00E175FE" w:rsidP="00E175FE">
            <w:pPr>
              <w:tabs>
                <w:tab w:val="left" w:pos="2650"/>
              </w:tabs>
            </w:pPr>
          </w:p>
        </w:tc>
      </w:tr>
      <w:tr w:rsidR="00004D6E" w:rsidTr="00E423C2">
        <w:trPr>
          <w:jc w:val="center"/>
        </w:trPr>
        <w:tc>
          <w:tcPr>
            <w:tcW w:w="1975" w:type="dxa"/>
            <w:tcBorders>
              <w:top w:val="single" w:sz="4" w:space="0" w:color="auto"/>
            </w:tcBorders>
          </w:tcPr>
          <w:p w:rsidR="00004D6E" w:rsidRPr="00004D6E" w:rsidRDefault="00004D6E" w:rsidP="00004D6E">
            <w:pPr>
              <w:ind w:firstLine="720"/>
              <w:rPr>
                <w:b/>
              </w:rPr>
            </w:pPr>
            <w:r w:rsidRPr="00004D6E">
              <w:rPr>
                <w:b/>
              </w:rPr>
              <w:t xml:space="preserve">Indicator </w:t>
            </w:r>
          </w:p>
        </w:tc>
        <w:tc>
          <w:tcPr>
            <w:tcW w:w="2850" w:type="dxa"/>
            <w:tcBorders>
              <w:top w:val="single" w:sz="4" w:space="0" w:color="auto"/>
            </w:tcBorders>
          </w:tcPr>
          <w:p w:rsidR="00004D6E" w:rsidRPr="00004D6E" w:rsidRDefault="00004D6E" w:rsidP="00004D6E">
            <w:pPr>
              <w:jc w:val="center"/>
              <w:rPr>
                <w:b/>
              </w:rPr>
            </w:pPr>
            <w:r w:rsidRPr="00004D6E">
              <w:rPr>
                <w:b/>
              </w:rPr>
              <w:t>Not Meeting</w:t>
            </w:r>
          </w:p>
        </w:tc>
        <w:tc>
          <w:tcPr>
            <w:tcW w:w="2850" w:type="dxa"/>
            <w:tcBorders>
              <w:top w:val="single" w:sz="4" w:space="0" w:color="auto"/>
            </w:tcBorders>
          </w:tcPr>
          <w:p w:rsidR="00004D6E" w:rsidRPr="00004D6E" w:rsidRDefault="00004D6E" w:rsidP="00004D6E">
            <w:pPr>
              <w:jc w:val="center"/>
              <w:rPr>
                <w:b/>
              </w:rPr>
            </w:pPr>
            <w:r w:rsidRPr="00004D6E">
              <w:rPr>
                <w:b/>
              </w:rPr>
              <w:t>Approaching</w:t>
            </w:r>
          </w:p>
        </w:tc>
        <w:tc>
          <w:tcPr>
            <w:tcW w:w="2850" w:type="dxa"/>
          </w:tcPr>
          <w:p w:rsidR="00004D6E" w:rsidRPr="00004D6E" w:rsidRDefault="00004D6E" w:rsidP="00004D6E">
            <w:pPr>
              <w:jc w:val="center"/>
              <w:rPr>
                <w:b/>
              </w:rPr>
            </w:pPr>
            <w:r w:rsidRPr="00004D6E">
              <w:rPr>
                <w:b/>
              </w:rPr>
              <w:t>Meeting</w:t>
            </w:r>
          </w:p>
        </w:tc>
      </w:tr>
      <w:tr w:rsidR="00E175FE" w:rsidTr="00E423C2">
        <w:trPr>
          <w:jc w:val="center"/>
        </w:trPr>
        <w:tc>
          <w:tcPr>
            <w:tcW w:w="1975" w:type="dxa"/>
            <w:tcBorders>
              <w:top w:val="single" w:sz="4" w:space="0" w:color="auto"/>
            </w:tcBorders>
          </w:tcPr>
          <w:p w:rsidR="007B33FB" w:rsidRDefault="007B33FB" w:rsidP="00E175FE"/>
          <w:p w:rsidR="007B33FB" w:rsidRDefault="007B33FB" w:rsidP="00E175FE"/>
          <w:p w:rsidR="00E175FE" w:rsidRDefault="00E175FE" w:rsidP="00E175FE">
            <w:r>
              <w:t xml:space="preserve">II-A-3. Meeting Diverse Needs </w:t>
            </w:r>
          </w:p>
          <w:p w:rsidR="00E175FE" w:rsidRDefault="00E175FE" w:rsidP="00E175FE"/>
          <w:p w:rsidR="00E175FE" w:rsidRDefault="00E175FE" w:rsidP="007B33FB"/>
        </w:tc>
        <w:tc>
          <w:tcPr>
            <w:tcW w:w="2850" w:type="dxa"/>
            <w:tcBorders>
              <w:top w:val="single" w:sz="4" w:space="0" w:color="auto"/>
            </w:tcBorders>
          </w:tcPr>
          <w:p w:rsidR="007B33FB" w:rsidRDefault="007B33FB" w:rsidP="00E175FE"/>
          <w:p w:rsidR="00E175FE" w:rsidRDefault="00E175FE" w:rsidP="00E175FE">
            <w:r>
              <w:t>Accommodations for differences are not observed or inappropriate practices utilized.</w:t>
            </w:r>
          </w:p>
          <w:p w:rsidR="00E175FE" w:rsidRDefault="00E175FE" w:rsidP="00E175FE"/>
        </w:tc>
        <w:tc>
          <w:tcPr>
            <w:tcW w:w="2850" w:type="dxa"/>
            <w:tcBorders>
              <w:top w:val="single" w:sz="4" w:space="0" w:color="auto"/>
            </w:tcBorders>
          </w:tcPr>
          <w:p w:rsidR="007B33FB" w:rsidRDefault="007B33FB" w:rsidP="00E175FE"/>
          <w:p w:rsidR="00E175FE" w:rsidRDefault="00E175FE" w:rsidP="00E175FE">
            <w:r>
              <w:t>May use some appropriate practices to accommodate learning differences, but doesn’t address the adequate range of differences.</w:t>
            </w:r>
          </w:p>
          <w:p w:rsidR="00E175FE" w:rsidRDefault="00E175FE" w:rsidP="00E175FE"/>
        </w:tc>
        <w:tc>
          <w:tcPr>
            <w:tcW w:w="2850" w:type="dxa"/>
          </w:tcPr>
          <w:p w:rsidR="007B33FB" w:rsidRDefault="007B33FB" w:rsidP="00E175FE"/>
          <w:p w:rsidR="00E175FE" w:rsidRDefault="00E175FE" w:rsidP="00E175FE">
            <w:r>
              <w:t>Uses appropriate practices and scaffolds to accommodate differences in learning styles, needs, interests and levels of readiness, including those of students with disabilities and English learners.</w:t>
            </w:r>
          </w:p>
        </w:tc>
      </w:tr>
      <w:tr w:rsidR="00E175FE" w:rsidTr="00E423C2">
        <w:trPr>
          <w:jc w:val="center"/>
        </w:trPr>
        <w:tc>
          <w:tcPr>
            <w:tcW w:w="1975" w:type="dxa"/>
          </w:tcPr>
          <w:p w:rsidR="00E175FE" w:rsidRDefault="007B33FB" w:rsidP="00E175FE">
            <w:r>
              <w:t xml:space="preserve">Rating </w:t>
            </w:r>
          </w:p>
        </w:tc>
        <w:tc>
          <w:tcPr>
            <w:tcW w:w="2850" w:type="dxa"/>
          </w:tcPr>
          <w:p w:rsidR="00E175FE" w:rsidRDefault="00E175FE" w:rsidP="00E175FE"/>
        </w:tc>
        <w:tc>
          <w:tcPr>
            <w:tcW w:w="2850" w:type="dxa"/>
          </w:tcPr>
          <w:p w:rsidR="00E175FE" w:rsidRDefault="00E175FE" w:rsidP="00E175FE"/>
        </w:tc>
        <w:tc>
          <w:tcPr>
            <w:tcW w:w="2850" w:type="dxa"/>
          </w:tcPr>
          <w:p w:rsidR="00E175FE" w:rsidRDefault="00E175FE" w:rsidP="00E175FE"/>
        </w:tc>
      </w:tr>
      <w:tr w:rsidR="007B33FB" w:rsidTr="00E423C2">
        <w:trPr>
          <w:jc w:val="center"/>
        </w:trPr>
        <w:tc>
          <w:tcPr>
            <w:tcW w:w="10525" w:type="dxa"/>
            <w:gridSpan w:val="4"/>
          </w:tcPr>
          <w:p w:rsidR="007B33FB" w:rsidRDefault="007B33FB" w:rsidP="00E175FE">
            <w:r>
              <w:t>Feedback:</w:t>
            </w:r>
          </w:p>
          <w:p w:rsidR="007B33FB" w:rsidRDefault="007B33FB" w:rsidP="00E175FE"/>
          <w:p w:rsidR="007B33FB" w:rsidRDefault="007B33FB" w:rsidP="00E175FE"/>
          <w:p w:rsidR="007B33FB" w:rsidRDefault="007B33FB" w:rsidP="00E175FE"/>
          <w:p w:rsidR="00004D6E" w:rsidRDefault="00004D6E" w:rsidP="00E175FE"/>
          <w:p w:rsidR="00004D6E" w:rsidRDefault="00004D6E" w:rsidP="00E175FE"/>
          <w:p w:rsidR="007B33FB" w:rsidRDefault="007B33FB" w:rsidP="00E175FE"/>
          <w:p w:rsidR="007B33FB" w:rsidRDefault="007B33FB" w:rsidP="00E175FE"/>
          <w:p w:rsidR="007B33FB" w:rsidRDefault="007B33FB" w:rsidP="00E175FE"/>
        </w:tc>
      </w:tr>
      <w:tr w:rsidR="00004D6E" w:rsidTr="00E423C2">
        <w:trPr>
          <w:jc w:val="center"/>
        </w:trPr>
        <w:tc>
          <w:tcPr>
            <w:tcW w:w="1975" w:type="dxa"/>
          </w:tcPr>
          <w:p w:rsidR="00004D6E" w:rsidRPr="00004D6E" w:rsidRDefault="00004D6E" w:rsidP="00004D6E">
            <w:pPr>
              <w:jc w:val="center"/>
              <w:rPr>
                <w:b/>
              </w:rPr>
            </w:pPr>
            <w:r w:rsidRPr="00004D6E">
              <w:rPr>
                <w:b/>
              </w:rPr>
              <w:t>Indicator</w:t>
            </w:r>
          </w:p>
        </w:tc>
        <w:tc>
          <w:tcPr>
            <w:tcW w:w="2850" w:type="dxa"/>
          </w:tcPr>
          <w:p w:rsidR="00004D6E" w:rsidRPr="00004D6E" w:rsidRDefault="00004D6E" w:rsidP="00004D6E">
            <w:pPr>
              <w:jc w:val="center"/>
              <w:rPr>
                <w:b/>
              </w:rPr>
            </w:pPr>
            <w:r w:rsidRPr="00004D6E">
              <w:rPr>
                <w:b/>
              </w:rPr>
              <w:t>Not Meeting</w:t>
            </w:r>
          </w:p>
        </w:tc>
        <w:tc>
          <w:tcPr>
            <w:tcW w:w="2850" w:type="dxa"/>
          </w:tcPr>
          <w:p w:rsidR="00004D6E" w:rsidRPr="00004D6E" w:rsidRDefault="00004D6E" w:rsidP="00004D6E">
            <w:pPr>
              <w:jc w:val="center"/>
              <w:rPr>
                <w:b/>
              </w:rPr>
            </w:pPr>
            <w:r w:rsidRPr="00004D6E">
              <w:rPr>
                <w:b/>
              </w:rPr>
              <w:t>Approaching</w:t>
            </w:r>
          </w:p>
        </w:tc>
        <w:tc>
          <w:tcPr>
            <w:tcW w:w="2850" w:type="dxa"/>
          </w:tcPr>
          <w:p w:rsidR="00004D6E" w:rsidRPr="00004D6E" w:rsidRDefault="00004D6E" w:rsidP="00004D6E">
            <w:pPr>
              <w:jc w:val="center"/>
              <w:rPr>
                <w:b/>
              </w:rPr>
            </w:pPr>
            <w:r w:rsidRPr="00004D6E">
              <w:rPr>
                <w:b/>
              </w:rPr>
              <w:t>Meeting</w:t>
            </w:r>
          </w:p>
        </w:tc>
      </w:tr>
      <w:tr w:rsidR="00E175FE" w:rsidTr="00E423C2">
        <w:trPr>
          <w:jc w:val="center"/>
        </w:trPr>
        <w:tc>
          <w:tcPr>
            <w:tcW w:w="1975" w:type="dxa"/>
          </w:tcPr>
          <w:p w:rsidR="00E175FE" w:rsidRDefault="00E175FE" w:rsidP="00E175FE">
            <w:r>
              <w:t xml:space="preserve">Effective Instruction: </w:t>
            </w:r>
            <w:r w:rsidRPr="00F744FF">
              <w:rPr>
                <w:i/>
                <w:iCs/>
              </w:rPr>
              <w:t>Launching the lesson</w:t>
            </w:r>
          </w:p>
          <w:p w:rsidR="00E175FE" w:rsidRPr="0096787E" w:rsidRDefault="00E175FE" w:rsidP="00E175FE">
            <w:pPr>
              <w:rPr>
                <w:i/>
                <w:iCs/>
              </w:rPr>
            </w:pPr>
          </w:p>
          <w:p w:rsidR="00E175FE" w:rsidRDefault="00E175FE" w:rsidP="00E175FE">
            <w:pPr>
              <w:rPr>
                <w:i/>
                <w:iCs/>
              </w:rPr>
            </w:pPr>
          </w:p>
          <w:p w:rsidR="00E175FE" w:rsidRPr="000D2133" w:rsidRDefault="00E175FE" w:rsidP="00E175FE"/>
        </w:tc>
        <w:tc>
          <w:tcPr>
            <w:tcW w:w="2850" w:type="dxa"/>
          </w:tcPr>
          <w:p w:rsidR="00E175FE" w:rsidRDefault="00E175FE" w:rsidP="00E175FE">
            <w:r>
              <w:t xml:space="preserve">Begins lesson with inappropriate engagement strategies for students. Does not clearly communicate learning objectives. </w:t>
            </w:r>
          </w:p>
        </w:tc>
        <w:tc>
          <w:tcPr>
            <w:tcW w:w="2850" w:type="dxa"/>
          </w:tcPr>
          <w:p w:rsidR="00E175FE" w:rsidRDefault="00E175FE" w:rsidP="00E175FE">
            <w:r>
              <w:t xml:space="preserve">Presents an introduction which adequately activates student interest or prior knowledge. Learning objectives are communicated. </w:t>
            </w:r>
          </w:p>
        </w:tc>
        <w:tc>
          <w:tcPr>
            <w:tcW w:w="2850" w:type="dxa"/>
          </w:tcPr>
          <w:p w:rsidR="00E175FE" w:rsidRDefault="00E175FE" w:rsidP="00E175FE">
            <w:r>
              <w:t xml:space="preserve">Facilitates a dynamic introduction and creates a sustained focus that activates student interest and/or prior knowledge. Clearly communicates learning objectives. </w:t>
            </w:r>
          </w:p>
        </w:tc>
      </w:tr>
      <w:tr w:rsidR="007B33FB" w:rsidTr="00E423C2">
        <w:trPr>
          <w:jc w:val="center"/>
        </w:trPr>
        <w:tc>
          <w:tcPr>
            <w:tcW w:w="1975" w:type="dxa"/>
          </w:tcPr>
          <w:p w:rsidR="007B33FB" w:rsidRDefault="007B33FB" w:rsidP="00E175FE">
            <w:r>
              <w:lastRenderedPageBreak/>
              <w:t xml:space="preserve">Rating </w:t>
            </w:r>
          </w:p>
        </w:tc>
        <w:tc>
          <w:tcPr>
            <w:tcW w:w="2850" w:type="dxa"/>
          </w:tcPr>
          <w:p w:rsidR="007B33FB" w:rsidRDefault="007B33FB" w:rsidP="00E175FE"/>
        </w:tc>
        <w:tc>
          <w:tcPr>
            <w:tcW w:w="2850" w:type="dxa"/>
          </w:tcPr>
          <w:p w:rsidR="007B33FB" w:rsidRDefault="007B33FB" w:rsidP="00E175FE"/>
        </w:tc>
        <w:tc>
          <w:tcPr>
            <w:tcW w:w="2850" w:type="dxa"/>
          </w:tcPr>
          <w:p w:rsidR="007B33FB" w:rsidRDefault="007B33FB" w:rsidP="00E175FE"/>
        </w:tc>
      </w:tr>
      <w:tr w:rsidR="007B33FB" w:rsidTr="00E423C2">
        <w:trPr>
          <w:jc w:val="center"/>
        </w:trPr>
        <w:tc>
          <w:tcPr>
            <w:tcW w:w="10525" w:type="dxa"/>
            <w:gridSpan w:val="4"/>
          </w:tcPr>
          <w:p w:rsidR="007B33FB" w:rsidRDefault="007B33FB" w:rsidP="00E175FE">
            <w:bookmarkStart w:id="0" w:name="_GoBack" w:colFirst="1" w:colLast="4"/>
            <w:r>
              <w:t xml:space="preserve">Feedback </w:t>
            </w:r>
          </w:p>
          <w:p w:rsidR="00004D6E" w:rsidRDefault="00004D6E" w:rsidP="00E175FE"/>
          <w:p w:rsidR="007B33FB" w:rsidRDefault="007B33FB" w:rsidP="00E175FE"/>
          <w:p w:rsidR="007B33FB" w:rsidRDefault="007B33FB" w:rsidP="00E175FE"/>
          <w:p w:rsidR="007B33FB" w:rsidRDefault="007B33FB" w:rsidP="00E175FE"/>
          <w:p w:rsidR="00376E22" w:rsidRDefault="00376E22" w:rsidP="00E175FE"/>
          <w:p w:rsidR="00376E22" w:rsidRDefault="00376E22" w:rsidP="00E175FE"/>
          <w:p w:rsidR="00376E22" w:rsidRDefault="00376E22" w:rsidP="00E175FE"/>
          <w:p w:rsidR="007B33FB" w:rsidRDefault="007B33FB" w:rsidP="00E175FE"/>
          <w:p w:rsidR="007B33FB" w:rsidRDefault="007B33FB" w:rsidP="00E175FE"/>
        </w:tc>
      </w:tr>
      <w:tr w:rsidR="007B33FB" w:rsidTr="00E423C2">
        <w:trPr>
          <w:jc w:val="center"/>
        </w:trPr>
        <w:tc>
          <w:tcPr>
            <w:tcW w:w="1975" w:type="dxa"/>
          </w:tcPr>
          <w:p w:rsidR="007B33FB" w:rsidRPr="00004D6E" w:rsidRDefault="007B33FB" w:rsidP="00004D6E">
            <w:pPr>
              <w:jc w:val="center"/>
              <w:rPr>
                <w:b/>
              </w:rPr>
            </w:pPr>
            <w:r w:rsidRPr="00004D6E">
              <w:rPr>
                <w:b/>
              </w:rPr>
              <w:t>Indicator</w:t>
            </w:r>
          </w:p>
        </w:tc>
        <w:tc>
          <w:tcPr>
            <w:tcW w:w="2850" w:type="dxa"/>
          </w:tcPr>
          <w:p w:rsidR="007B33FB" w:rsidRPr="00004D6E" w:rsidRDefault="007B33FB" w:rsidP="00004D6E">
            <w:pPr>
              <w:jc w:val="center"/>
              <w:rPr>
                <w:b/>
              </w:rPr>
            </w:pPr>
            <w:r w:rsidRPr="00004D6E">
              <w:rPr>
                <w:b/>
              </w:rPr>
              <w:t>Not Meeting</w:t>
            </w:r>
          </w:p>
        </w:tc>
        <w:tc>
          <w:tcPr>
            <w:tcW w:w="2850" w:type="dxa"/>
          </w:tcPr>
          <w:p w:rsidR="007B33FB" w:rsidRPr="00004D6E" w:rsidRDefault="00004D6E" w:rsidP="00004D6E">
            <w:pPr>
              <w:jc w:val="center"/>
              <w:rPr>
                <w:b/>
              </w:rPr>
            </w:pPr>
            <w:r w:rsidRPr="00004D6E">
              <w:rPr>
                <w:b/>
              </w:rPr>
              <w:t>Approaching</w:t>
            </w:r>
          </w:p>
        </w:tc>
        <w:tc>
          <w:tcPr>
            <w:tcW w:w="2850" w:type="dxa"/>
          </w:tcPr>
          <w:p w:rsidR="007B33FB" w:rsidRPr="00004D6E" w:rsidRDefault="00004D6E" w:rsidP="00004D6E">
            <w:pPr>
              <w:jc w:val="center"/>
              <w:rPr>
                <w:b/>
              </w:rPr>
            </w:pPr>
            <w:r w:rsidRPr="00004D6E">
              <w:rPr>
                <w:b/>
              </w:rPr>
              <w:t>Meeting</w:t>
            </w:r>
          </w:p>
        </w:tc>
      </w:tr>
      <w:bookmarkEnd w:id="0"/>
      <w:tr w:rsidR="00E175FE" w:rsidTr="00E423C2">
        <w:trPr>
          <w:jc w:val="center"/>
        </w:trPr>
        <w:tc>
          <w:tcPr>
            <w:tcW w:w="1975" w:type="dxa"/>
          </w:tcPr>
          <w:p w:rsidR="00004D6E" w:rsidRDefault="00004D6E" w:rsidP="00E175FE"/>
          <w:p w:rsidR="00E175FE" w:rsidRDefault="00E175FE" w:rsidP="00E175FE">
            <w:r>
              <w:t xml:space="preserve">Effective Instruction: </w:t>
            </w:r>
          </w:p>
          <w:p w:rsidR="00E175FE" w:rsidRPr="00CF29AF" w:rsidRDefault="00E175FE" w:rsidP="00E175FE">
            <w:pPr>
              <w:rPr>
                <w:i/>
                <w:iCs/>
              </w:rPr>
            </w:pPr>
            <w:r w:rsidRPr="00CF29AF">
              <w:rPr>
                <w:i/>
                <w:iCs/>
              </w:rPr>
              <w:t>Active Learning Phase</w:t>
            </w:r>
          </w:p>
          <w:p w:rsidR="00E175FE" w:rsidRDefault="00E175FE" w:rsidP="00E175FE"/>
          <w:p w:rsidR="00E175FE" w:rsidRDefault="00E175FE" w:rsidP="00E175FE"/>
          <w:p w:rsidR="00E175FE" w:rsidRDefault="00E175FE" w:rsidP="00E175FE"/>
        </w:tc>
        <w:tc>
          <w:tcPr>
            <w:tcW w:w="2850" w:type="dxa"/>
          </w:tcPr>
          <w:p w:rsidR="00004D6E" w:rsidRDefault="00004D6E" w:rsidP="00E175FE"/>
          <w:p w:rsidR="00E175FE" w:rsidRDefault="00E175FE" w:rsidP="00E175FE">
            <w:r>
              <w:t>Pacing, transitions and directions do not support learning.  Unenthusiastic demeanor. Students are not engaged in learning.Lesson closure and next steps are unclear or not included.</w:t>
            </w:r>
          </w:p>
          <w:p w:rsidR="00E175FE" w:rsidRDefault="00E175FE" w:rsidP="00E175FE"/>
        </w:tc>
        <w:tc>
          <w:tcPr>
            <w:tcW w:w="2850" w:type="dxa"/>
          </w:tcPr>
          <w:p w:rsidR="007B33FB" w:rsidRDefault="007B33FB" w:rsidP="00E175FE"/>
          <w:p w:rsidR="00E175FE" w:rsidRDefault="00E175FE" w:rsidP="00E175FE">
            <w:r>
              <w:t>Pacing is not fully conducive to learning and tasks and transitions may not be clear.</w:t>
            </w:r>
          </w:p>
          <w:p w:rsidR="00E175FE" w:rsidRDefault="00E175FE" w:rsidP="00E175FE">
            <w:r>
              <w:t>Demonstrates some enthusiasm. Students are mostly engaged in learning.</w:t>
            </w:r>
          </w:p>
          <w:p w:rsidR="00E175FE" w:rsidRDefault="00E175FE" w:rsidP="00E175FE">
            <w:r>
              <w:t>Attempts to check for understanding and provide closure to lesson.</w:t>
            </w:r>
          </w:p>
          <w:p w:rsidR="00E175FE" w:rsidRDefault="00E175FE" w:rsidP="00E175FE"/>
        </w:tc>
        <w:tc>
          <w:tcPr>
            <w:tcW w:w="2850" w:type="dxa"/>
          </w:tcPr>
          <w:p w:rsidR="007B33FB" w:rsidRDefault="007B33FB" w:rsidP="00E175FE"/>
          <w:p w:rsidR="00E175FE" w:rsidRDefault="00E175FE" w:rsidP="00E175FE">
            <w:r>
              <w:t>Uses appropriate pacing with strong transitions, and adequately breaks down tasks. Demonstrates high level of enthusiasm and maintains student engagement though active learning.Checks for understanding and presents closure that signals the end of instruction and provides clear directions for assignment, if applicable.</w:t>
            </w:r>
          </w:p>
        </w:tc>
      </w:tr>
      <w:tr w:rsidR="00376E22" w:rsidTr="00E423C2">
        <w:trPr>
          <w:jc w:val="center"/>
        </w:trPr>
        <w:tc>
          <w:tcPr>
            <w:tcW w:w="1975" w:type="dxa"/>
          </w:tcPr>
          <w:p w:rsidR="00376E22" w:rsidRDefault="00376E22" w:rsidP="00E175FE">
            <w:r>
              <w:t xml:space="preserve">Rating </w:t>
            </w:r>
          </w:p>
        </w:tc>
        <w:tc>
          <w:tcPr>
            <w:tcW w:w="2850" w:type="dxa"/>
          </w:tcPr>
          <w:p w:rsidR="00376E22" w:rsidRDefault="00376E22" w:rsidP="00E175FE"/>
        </w:tc>
        <w:tc>
          <w:tcPr>
            <w:tcW w:w="2850" w:type="dxa"/>
          </w:tcPr>
          <w:p w:rsidR="00376E22" w:rsidRDefault="00376E22" w:rsidP="00E175FE"/>
        </w:tc>
        <w:tc>
          <w:tcPr>
            <w:tcW w:w="2850" w:type="dxa"/>
          </w:tcPr>
          <w:p w:rsidR="00376E22" w:rsidRDefault="00376E22" w:rsidP="00E175FE"/>
        </w:tc>
      </w:tr>
      <w:tr w:rsidR="00376E22" w:rsidTr="00E423C2">
        <w:trPr>
          <w:jc w:val="center"/>
        </w:trPr>
        <w:tc>
          <w:tcPr>
            <w:tcW w:w="10525" w:type="dxa"/>
            <w:gridSpan w:val="4"/>
          </w:tcPr>
          <w:p w:rsidR="00376E22" w:rsidRDefault="00376E22" w:rsidP="00E175FE">
            <w:r>
              <w:t>Feedback</w:t>
            </w:r>
          </w:p>
          <w:p w:rsidR="00376E22" w:rsidRDefault="00376E22" w:rsidP="00E175FE"/>
          <w:p w:rsidR="00376E22" w:rsidRDefault="00376E22" w:rsidP="00E175FE"/>
          <w:p w:rsidR="00376E22" w:rsidRDefault="00376E22" w:rsidP="00E175FE"/>
          <w:p w:rsidR="00376E22" w:rsidRDefault="00376E22" w:rsidP="00E175FE"/>
          <w:p w:rsidR="00376E22" w:rsidRDefault="00376E22" w:rsidP="00E175FE"/>
          <w:p w:rsidR="00376E22" w:rsidRDefault="00376E22" w:rsidP="00E175FE"/>
        </w:tc>
      </w:tr>
    </w:tbl>
    <w:p w:rsidR="00592B5E" w:rsidRDefault="00592B5E" w:rsidP="00592B5E">
      <w:pPr>
        <w:rPr>
          <w:rFonts w:cstheme="minorHAnsi"/>
        </w:rPr>
      </w:pPr>
    </w:p>
    <w:p w:rsidR="00E423C2" w:rsidRDefault="00E423C2" w:rsidP="00592B5E">
      <w:pPr>
        <w:rPr>
          <w:rFonts w:cstheme="minorHAnsi"/>
        </w:rPr>
      </w:pPr>
    </w:p>
    <w:p w:rsidR="00E33A51" w:rsidRDefault="00E33A51" w:rsidP="00592B5E">
      <w:pPr>
        <w:rPr>
          <w:rFonts w:cstheme="minorHAnsi"/>
        </w:rPr>
      </w:pPr>
      <w:r>
        <w:rPr>
          <w:rFonts w:cstheme="minorHAnsi"/>
        </w:rPr>
        <w:t xml:space="preserve"> Additional Feedback for Teacher Candidate:</w:t>
      </w:r>
    </w:p>
    <w:p w:rsidR="00E33A51" w:rsidRDefault="00E33A51" w:rsidP="00592B5E">
      <w:pPr>
        <w:rPr>
          <w:rFonts w:cstheme="minorHAnsi"/>
        </w:rPr>
      </w:pPr>
    </w:p>
    <w:p w:rsidR="00E33A51" w:rsidRDefault="00E33A51" w:rsidP="00592B5E">
      <w:pPr>
        <w:rPr>
          <w:rFonts w:cstheme="minorHAnsi"/>
        </w:rPr>
      </w:pPr>
    </w:p>
    <w:p w:rsidR="007B044F" w:rsidRDefault="007B044F" w:rsidP="00592B5E">
      <w:pPr>
        <w:rPr>
          <w:rFonts w:cstheme="minorHAnsi"/>
        </w:rPr>
      </w:pPr>
    </w:p>
    <w:p w:rsidR="00E33A51" w:rsidRDefault="007B044F" w:rsidP="00592B5E">
      <w:pPr>
        <w:rPr>
          <w:rFonts w:cstheme="minorHAnsi"/>
        </w:rPr>
      </w:pPr>
      <w:r>
        <w:rPr>
          <w:rFonts w:cstheme="minorHAnsi"/>
        </w:rPr>
        <w:t>Signatures:</w:t>
      </w:r>
    </w:p>
    <w:p w:rsidR="00E33A51" w:rsidRDefault="00E33A51" w:rsidP="00592B5E">
      <w:pPr>
        <w:rPr>
          <w:rFonts w:cstheme="minorHAnsi"/>
        </w:rPr>
      </w:pPr>
      <w:r>
        <w:rPr>
          <w:rFonts w:cstheme="minorHAnsi"/>
        </w:rPr>
        <w:t>Teacher Candidate:___________________________________  Date:__________________</w:t>
      </w:r>
    </w:p>
    <w:p w:rsidR="00E33A51" w:rsidRDefault="00E33A51" w:rsidP="00592B5E">
      <w:pPr>
        <w:rPr>
          <w:rFonts w:cstheme="minorHAnsi"/>
        </w:rPr>
      </w:pPr>
      <w:r>
        <w:rPr>
          <w:rFonts w:cstheme="minorHAnsi"/>
        </w:rPr>
        <w:t>Supervising Practitioner:_______________________________ Date:__________________</w:t>
      </w:r>
    </w:p>
    <w:p w:rsidR="00E33A51" w:rsidRPr="00852164" w:rsidRDefault="00E33A51" w:rsidP="00592B5E">
      <w:pPr>
        <w:rPr>
          <w:rFonts w:cstheme="minorHAnsi"/>
        </w:rPr>
      </w:pPr>
      <w:r>
        <w:rPr>
          <w:rFonts w:cstheme="minorHAnsi"/>
        </w:rPr>
        <w:t>Program Supervisor:__________________________________ Date:__________________</w:t>
      </w:r>
    </w:p>
    <w:p w:rsidR="00592B5E" w:rsidRPr="00AE7A0B" w:rsidRDefault="00592B5E" w:rsidP="00AE7A0B">
      <w:pPr>
        <w:spacing w:after="0" w:line="240" w:lineRule="auto"/>
        <w:ind w:firstLine="720"/>
      </w:pPr>
    </w:p>
    <w:sectPr w:rsidR="00592B5E" w:rsidRPr="00AE7A0B" w:rsidSect="00586F7C">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E17" w:rsidRDefault="004D7E17" w:rsidP="00E175FE">
      <w:pPr>
        <w:spacing w:after="0" w:line="240" w:lineRule="auto"/>
      </w:pPr>
      <w:r>
        <w:separator/>
      </w:r>
    </w:p>
  </w:endnote>
  <w:endnote w:type="continuationSeparator" w:id="0">
    <w:p w:rsidR="004D7E17" w:rsidRDefault="004D7E17" w:rsidP="00E17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E17" w:rsidRDefault="004D7E17" w:rsidP="00E175FE">
      <w:pPr>
        <w:spacing w:after="0" w:line="240" w:lineRule="auto"/>
      </w:pPr>
      <w:r>
        <w:separator/>
      </w:r>
    </w:p>
  </w:footnote>
  <w:footnote w:type="continuationSeparator" w:id="0">
    <w:p w:rsidR="004D7E17" w:rsidRDefault="004D7E17" w:rsidP="00E175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C0C74"/>
    <w:multiLevelType w:val="hybridMultilevel"/>
    <w:tmpl w:val="7438F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6F20A5"/>
    <w:multiLevelType w:val="hybridMultilevel"/>
    <w:tmpl w:val="11A0A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9C3B1E"/>
    <w:multiLevelType w:val="hybridMultilevel"/>
    <w:tmpl w:val="655E62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0A5"/>
    <w:rsid w:val="00004D6E"/>
    <w:rsid w:val="00025B5E"/>
    <w:rsid w:val="000C5D3B"/>
    <w:rsid w:val="001441FF"/>
    <w:rsid w:val="00376E22"/>
    <w:rsid w:val="004B4B06"/>
    <w:rsid w:val="004D7E17"/>
    <w:rsid w:val="00586F7C"/>
    <w:rsid w:val="00592B5E"/>
    <w:rsid w:val="007B044F"/>
    <w:rsid w:val="007B33FB"/>
    <w:rsid w:val="007B64B5"/>
    <w:rsid w:val="0093322A"/>
    <w:rsid w:val="009B2EB9"/>
    <w:rsid w:val="009D2994"/>
    <w:rsid w:val="00AE7A0B"/>
    <w:rsid w:val="00AF1B8E"/>
    <w:rsid w:val="00BF5658"/>
    <w:rsid w:val="00CD6F4B"/>
    <w:rsid w:val="00D6652D"/>
    <w:rsid w:val="00E175FE"/>
    <w:rsid w:val="00E33A51"/>
    <w:rsid w:val="00E35800"/>
    <w:rsid w:val="00E370AF"/>
    <w:rsid w:val="00E423C2"/>
    <w:rsid w:val="00E908F5"/>
    <w:rsid w:val="00EB3FB7"/>
    <w:rsid w:val="00EC5CC8"/>
    <w:rsid w:val="00F66A2F"/>
    <w:rsid w:val="00F87A5D"/>
    <w:rsid w:val="00FA7A5B"/>
    <w:rsid w:val="00FE2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ECBA13-DA7F-431B-B954-7169A916B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423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92B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423C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2B5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BF5658"/>
    <w:pPr>
      <w:ind w:left="720"/>
      <w:contextualSpacing/>
    </w:pPr>
  </w:style>
  <w:style w:type="character" w:styleId="Hyperlink">
    <w:name w:val="Hyperlink"/>
    <w:basedOn w:val="DefaultParagraphFont"/>
    <w:uiPriority w:val="99"/>
    <w:unhideWhenUsed/>
    <w:rsid w:val="00BF5658"/>
    <w:rPr>
      <w:color w:val="0563C1" w:themeColor="hyperlink"/>
      <w:u w:val="single"/>
    </w:rPr>
  </w:style>
  <w:style w:type="table" w:styleId="TableGrid">
    <w:name w:val="Table Grid"/>
    <w:basedOn w:val="TableNormal"/>
    <w:uiPriority w:val="39"/>
    <w:rsid w:val="00E370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75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5FE"/>
  </w:style>
  <w:style w:type="paragraph" w:styleId="Footer">
    <w:name w:val="footer"/>
    <w:basedOn w:val="Normal"/>
    <w:link w:val="FooterChar"/>
    <w:uiPriority w:val="99"/>
    <w:unhideWhenUsed/>
    <w:rsid w:val="00E175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5FE"/>
  </w:style>
  <w:style w:type="character" w:customStyle="1" w:styleId="Heading1Char">
    <w:name w:val="Heading 1 Char"/>
    <w:basedOn w:val="DefaultParagraphFont"/>
    <w:link w:val="Heading1"/>
    <w:uiPriority w:val="9"/>
    <w:rsid w:val="00E423C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E423C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e.mass.edu/edprep/resources/pre-practicum.html"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473</TotalTime>
  <Pages>4</Pages>
  <Words>1160</Words>
  <Characters>6615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Jache, Christina</dc:creator>
  <cp:keywords/>
  <dc:description/>
  <cp:lastModifiedBy>Jache, Christina</cp:lastModifiedBy>
  <cp:revision>16</cp:revision>
  <dcterms:created xsi:type="dcterms:W3CDTF">2020-07-01T14:32:00Z</dcterms:created>
  <dcterms:modified xsi:type="dcterms:W3CDTF">2020-08-11T18:30:00Z</dcterms:modified>
</cp:coreProperties>
</file>